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4FF1" w14:textId="4BE38B3B" w:rsidR="005C1AD1" w:rsidRPr="005C1AD1" w:rsidRDefault="005C1AD1" w:rsidP="004B49C7">
      <w:pPr>
        <w:pStyle w:val="Sinespaciado"/>
        <w:jc w:val="both"/>
        <w:rPr>
          <w:rFonts w:ascii="Verdana" w:hAnsi="Verdana"/>
          <w:b/>
          <w:bCs/>
        </w:rPr>
      </w:pPr>
      <w:r w:rsidRPr="005C1AD1">
        <w:rPr>
          <w:rFonts w:ascii="Verdana" w:hAnsi="Verdana"/>
          <w:b/>
          <w:bCs/>
        </w:rPr>
        <w:t>LEY 2064 DEL 9 DE DICIEMBRE DE 2020</w:t>
      </w:r>
    </w:p>
    <w:p w14:paraId="73612EEC" w14:textId="6BA09BA4" w:rsidR="005C1AD1" w:rsidRPr="005C1AD1" w:rsidRDefault="005C1AD1" w:rsidP="004B49C7">
      <w:pPr>
        <w:pStyle w:val="Sinespaciado"/>
        <w:jc w:val="both"/>
        <w:rPr>
          <w:rFonts w:ascii="Verdana" w:hAnsi="Verdana"/>
          <w:b/>
          <w:bCs/>
        </w:rPr>
      </w:pPr>
      <w:r w:rsidRPr="005C1AD1">
        <w:rPr>
          <w:rFonts w:ascii="Verdana" w:hAnsi="Verdana"/>
          <w:b/>
          <w:bCs/>
        </w:rPr>
        <w:t>CONGRESO DE LA REPÚBLICA</w:t>
      </w:r>
    </w:p>
    <w:p w14:paraId="6BC1B53E" w14:textId="77777777" w:rsidR="005C1AD1" w:rsidRDefault="005C1AD1" w:rsidP="004B49C7">
      <w:pPr>
        <w:pStyle w:val="Sinespaciado"/>
        <w:jc w:val="both"/>
        <w:rPr>
          <w:rFonts w:ascii="Verdana" w:hAnsi="Verdana"/>
        </w:rPr>
      </w:pPr>
    </w:p>
    <w:p w14:paraId="03539374" w14:textId="77777777" w:rsidR="005C1AD1" w:rsidRDefault="005C1AD1" w:rsidP="004B49C7">
      <w:pPr>
        <w:pStyle w:val="Sinespaciado"/>
        <w:jc w:val="both"/>
        <w:rPr>
          <w:rFonts w:ascii="Verdana" w:hAnsi="Verdana"/>
          <w:b/>
          <w:bCs/>
        </w:rPr>
      </w:pPr>
      <w:r w:rsidRPr="005C1AD1">
        <w:rPr>
          <w:rFonts w:ascii="Verdana" w:hAnsi="Verdana"/>
          <w:b/>
          <w:bCs/>
        </w:rPr>
        <w:t>“</w:t>
      </w:r>
      <w:r w:rsidR="004B49C7" w:rsidRPr="005C1AD1">
        <w:rPr>
          <w:rFonts w:ascii="Verdana" w:hAnsi="Verdana"/>
          <w:b/>
          <w:bCs/>
        </w:rPr>
        <w:t>POR MEDIO DE LA CUAL SE DECLARA DE INTERÉS GENERAL</w:t>
      </w:r>
      <w:r w:rsidRPr="005C1AD1">
        <w:rPr>
          <w:rFonts w:ascii="Verdana" w:hAnsi="Verdana"/>
          <w:b/>
          <w:bCs/>
        </w:rPr>
        <w:t xml:space="preserve"> </w:t>
      </w:r>
      <w:r w:rsidR="004B49C7" w:rsidRPr="005C1AD1">
        <w:rPr>
          <w:rFonts w:ascii="Verdana" w:hAnsi="Verdana"/>
          <w:b/>
          <w:bCs/>
        </w:rPr>
        <w:t>LA ESTRATEGIA PARA LA INMUNIZACIÓN DE LA POBLACIÓN</w:t>
      </w:r>
      <w:r w:rsidRPr="005C1AD1">
        <w:rPr>
          <w:rFonts w:ascii="Verdana" w:hAnsi="Verdana"/>
          <w:b/>
          <w:bCs/>
        </w:rPr>
        <w:t xml:space="preserve"> </w:t>
      </w:r>
      <w:r w:rsidR="004B49C7" w:rsidRPr="005C1AD1">
        <w:rPr>
          <w:rFonts w:ascii="Verdana" w:hAnsi="Verdana"/>
          <w:b/>
          <w:bCs/>
        </w:rPr>
        <w:t>COLOMBIANA CONTRA LA COVID-19 Y LA LUCHA CONTRA</w:t>
      </w:r>
      <w:r w:rsidRPr="005C1AD1">
        <w:rPr>
          <w:rFonts w:ascii="Verdana" w:hAnsi="Verdana"/>
          <w:b/>
          <w:bCs/>
        </w:rPr>
        <w:t xml:space="preserve"> </w:t>
      </w:r>
      <w:r w:rsidR="004B49C7" w:rsidRPr="005C1AD1">
        <w:rPr>
          <w:rFonts w:ascii="Verdana" w:hAnsi="Verdana"/>
          <w:b/>
          <w:bCs/>
        </w:rPr>
        <w:t>CUALQUIER PANDEMIA Y SE DICTAN OTRAS</w:t>
      </w:r>
      <w:r w:rsidRPr="005C1AD1">
        <w:rPr>
          <w:rFonts w:ascii="Verdana" w:hAnsi="Verdana"/>
          <w:b/>
          <w:bCs/>
        </w:rPr>
        <w:t xml:space="preserve"> </w:t>
      </w:r>
      <w:r w:rsidR="004B49C7" w:rsidRPr="005C1AD1">
        <w:rPr>
          <w:rFonts w:ascii="Verdana" w:hAnsi="Verdana"/>
          <w:b/>
          <w:bCs/>
        </w:rPr>
        <w:t>DISPOSICION</w:t>
      </w:r>
      <w:r w:rsidRPr="005C1AD1">
        <w:rPr>
          <w:rFonts w:ascii="Verdana" w:hAnsi="Verdana"/>
          <w:b/>
          <w:bCs/>
        </w:rPr>
        <w:t>ES”</w:t>
      </w:r>
    </w:p>
    <w:p w14:paraId="6BED8D32" w14:textId="77777777" w:rsidR="005C1AD1" w:rsidRDefault="005C1AD1" w:rsidP="004B49C7">
      <w:pPr>
        <w:pStyle w:val="Sinespaciado"/>
        <w:jc w:val="both"/>
        <w:rPr>
          <w:rFonts w:ascii="Verdana" w:hAnsi="Verdana"/>
          <w:b/>
          <w:bCs/>
        </w:rPr>
      </w:pPr>
    </w:p>
    <w:p w14:paraId="72720450" w14:textId="384C8DED" w:rsidR="004B49C7" w:rsidRPr="005C1AD1" w:rsidRDefault="004B49C7" w:rsidP="004B49C7">
      <w:pPr>
        <w:pStyle w:val="Sinespaciado"/>
        <w:jc w:val="both"/>
        <w:rPr>
          <w:rFonts w:ascii="Verdana" w:hAnsi="Verdana"/>
          <w:b/>
          <w:bCs/>
        </w:rPr>
      </w:pPr>
      <w:r w:rsidRPr="005C1AD1">
        <w:rPr>
          <w:rFonts w:ascii="Verdana" w:hAnsi="Verdana"/>
          <w:b/>
          <w:bCs/>
        </w:rPr>
        <w:t>EL CONGRESO DE COLOMBIA</w:t>
      </w:r>
    </w:p>
    <w:p w14:paraId="4C8FF1E6" w14:textId="77777777" w:rsidR="005C1AD1" w:rsidRDefault="005C1AD1" w:rsidP="004B49C7">
      <w:pPr>
        <w:pStyle w:val="Sinespaciado"/>
        <w:jc w:val="both"/>
        <w:rPr>
          <w:rFonts w:ascii="Verdana" w:hAnsi="Verdana"/>
        </w:rPr>
      </w:pPr>
    </w:p>
    <w:p w14:paraId="2904BF90" w14:textId="134EAEAE" w:rsidR="004B49C7" w:rsidRPr="005C1AD1" w:rsidRDefault="004B49C7" w:rsidP="004B49C7">
      <w:pPr>
        <w:pStyle w:val="Sinespaciado"/>
        <w:jc w:val="both"/>
        <w:rPr>
          <w:rFonts w:ascii="Verdana" w:hAnsi="Verdana"/>
          <w:b/>
          <w:bCs/>
        </w:rPr>
      </w:pPr>
      <w:r w:rsidRPr="005C1AD1">
        <w:rPr>
          <w:rFonts w:ascii="Verdana" w:hAnsi="Verdana"/>
          <w:b/>
          <w:bCs/>
        </w:rPr>
        <w:t>DECRETA:</w:t>
      </w:r>
    </w:p>
    <w:p w14:paraId="302452CF" w14:textId="77777777" w:rsidR="005C1AD1" w:rsidRDefault="005C1AD1" w:rsidP="004B49C7">
      <w:pPr>
        <w:pStyle w:val="Sinespaciado"/>
        <w:jc w:val="both"/>
        <w:rPr>
          <w:rFonts w:ascii="Verdana" w:hAnsi="Verdana"/>
        </w:rPr>
      </w:pPr>
    </w:p>
    <w:p w14:paraId="3635AFCF" w14:textId="493FD03B" w:rsidR="004B49C7" w:rsidRPr="004B49C7" w:rsidRDefault="004B49C7" w:rsidP="004B49C7">
      <w:pPr>
        <w:pStyle w:val="Sinespaciado"/>
        <w:jc w:val="both"/>
        <w:rPr>
          <w:rFonts w:ascii="Verdana" w:hAnsi="Verdana"/>
        </w:rPr>
      </w:pPr>
      <w:r w:rsidRPr="005C1AD1">
        <w:rPr>
          <w:rFonts w:ascii="Verdana" w:hAnsi="Verdana"/>
          <w:b/>
          <w:bCs/>
        </w:rPr>
        <w:t>ARTÍCULO PRIMERO. Objeto.</w:t>
      </w:r>
      <w:r w:rsidRPr="004B49C7">
        <w:rPr>
          <w:rFonts w:ascii="Verdana" w:hAnsi="Verdana"/>
        </w:rPr>
        <w:t xml:space="preserve"> La presente ley tiene por objeto declarar de interés general la estrategia para la inmunización de la población colombiana contra la Covid-19 y establecer medidas administrativas y tributarias para la financiación y la gestión de los asuntos relacionados con la inmunización contra la Covid-19 y otras pandemias.</w:t>
      </w:r>
    </w:p>
    <w:p w14:paraId="3D553A18" w14:textId="77777777" w:rsidR="00282BB0" w:rsidRDefault="00282BB0" w:rsidP="004B49C7">
      <w:pPr>
        <w:pStyle w:val="Sinespaciado"/>
        <w:jc w:val="both"/>
        <w:rPr>
          <w:rFonts w:ascii="Verdana" w:hAnsi="Verdana"/>
        </w:rPr>
      </w:pPr>
    </w:p>
    <w:p w14:paraId="44A67064" w14:textId="4C463B14" w:rsidR="004B49C7" w:rsidRPr="004B49C7" w:rsidRDefault="004B49C7" w:rsidP="004B49C7">
      <w:pPr>
        <w:pStyle w:val="Sinespaciado"/>
        <w:jc w:val="both"/>
        <w:rPr>
          <w:rFonts w:ascii="Verdana" w:hAnsi="Verdana"/>
        </w:rPr>
      </w:pPr>
      <w:r w:rsidRPr="00282BB0">
        <w:rPr>
          <w:rFonts w:ascii="Verdana" w:hAnsi="Verdana"/>
          <w:b/>
          <w:bCs/>
        </w:rPr>
        <w:t>ARTÍCULO SEGUNDO. Priorización de alianzas para obtener recursos en medio de una amenaza pandémica.</w:t>
      </w:r>
      <w:r w:rsidRPr="004B49C7">
        <w:rPr>
          <w:rFonts w:ascii="Verdana" w:hAnsi="Verdana"/>
        </w:rPr>
        <w:t xml:space="preserve"> El Gobierno Nacional podrá concertar alianzas estratégicas prioritarias con organismos multilaterales y el sector privado, con el propósito de acopiar recursos científicos, financieros y logísticos, que le permitan al país dar una respuesta oportuna ante cualquier amenaza de epidemia o pandemia.</w:t>
      </w:r>
    </w:p>
    <w:p w14:paraId="39BBBF85" w14:textId="77777777" w:rsidR="00282BB0" w:rsidRDefault="00282BB0" w:rsidP="004B49C7">
      <w:pPr>
        <w:pStyle w:val="Sinespaciado"/>
        <w:jc w:val="both"/>
        <w:rPr>
          <w:rFonts w:ascii="Verdana" w:hAnsi="Verdana"/>
        </w:rPr>
      </w:pPr>
    </w:p>
    <w:p w14:paraId="40327E26" w14:textId="4459B7BD" w:rsidR="004B49C7" w:rsidRPr="004B49C7" w:rsidRDefault="004B49C7" w:rsidP="004B49C7">
      <w:pPr>
        <w:pStyle w:val="Sinespaciado"/>
        <w:jc w:val="both"/>
        <w:rPr>
          <w:rFonts w:ascii="Verdana" w:hAnsi="Verdana"/>
        </w:rPr>
      </w:pPr>
      <w:r w:rsidRPr="004B49C7">
        <w:rPr>
          <w:rFonts w:ascii="Verdana" w:hAnsi="Verdana"/>
        </w:rPr>
        <w:t>Para estos efectos, el Gobierno Nacional podrá destinar directamente recursos financieros y firmar convenios con comunidades científicas, laboratorios especializados públicos y privados, ubicados dentro o fuera del</w:t>
      </w:r>
      <w:r w:rsidR="00282BB0">
        <w:rPr>
          <w:rFonts w:ascii="Verdana" w:hAnsi="Verdana"/>
        </w:rPr>
        <w:t xml:space="preserve"> </w:t>
      </w:r>
      <w:r w:rsidRPr="004B49C7">
        <w:rPr>
          <w:rFonts w:ascii="Verdana" w:hAnsi="Verdana"/>
        </w:rPr>
        <w:t>país, centros o institutos de investigación y universidades, con el fin de asegurar el acceso referente a tratamientos preventivos y curativos con el propósito de contrarrestar contingencias de epidemia o pandemia.</w:t>
      </w:r>
    </w:p>
    <w:p w14:paraId="059BA601" w14:textId="77777777" w:rsidR="00282BB0" w:rsidRDefault="00282BB0" w:rsidP="004B49C7">
      <w:pPr>
        <w:pStyle w:val="Sinespaciado"/>
        <w:jc w:val="both"/>
        <w:rPr>
          <w:rFonts w:ascii="Verdana" w:hAnsi="Verdana"/>
        </w:rPr>
      </w:pPr>
    </w:p>
    <w:p w14:paraId="6C1E5F21" w14:textId="40EAAA7F" w:rsidR="004B49C7" w:rsidRPr="004B49C7" w:rsidRDefault="004B49C7" w:rsidP="004B49C7">
      <w:pPr>
        <w:pStyle w:val="Sinespaciado"/>
        <w:jc w:val="both"/>
        <w:rPr>
          <w:rFonts w:ascii="Verdana" w:hAnsi="Verdana"/>
        </w:rPr>
      </w:pPr>
      <w:r w:rsidRPr="004B49C7">
        <w:rPr>
          <w:rFonts w:ascii="Verdana" w:hAnsi="Verdana"/>
        </w:rPr>
        <w:t>Así mismo, el Gobierno Nacional podrá destinar estos recursos para realizar inversiones a riesgo y hacer anticipos reembolsables y no reembolsables con cargo a los convenios descritos en este artículo. Las decisiones sobre el uso de estos recursos deberán ser evaluadas de forma conjunta y en contexto con su objetivo, no por el desempeño de una operación individual, sino como parte de una política integral que le permita al país dar una respuesta oportuna ante cualquier amenaza de epidemia o pandemia.</w:t>
      </w:r>
    </w:p>
    <w:p w14:paraId="000B0937" w14:textId="77777777" w:rsidR="00282BB0" w:rsidRDefault="00282BB0" w:rsidP="004B49C7">
      <w:pPr>
        <w:pStyle w:val="Sinespaciado"/>
        <w:jc w:val="both"/>
        <w:rPr>
          <w:rFonts w:ascii="Verdana" w:hAnsi="Verdana"/>
        </w:rPr>
      </w:pPr>
    </w:p>
    <w:p w14:paraId="47191DBC" w14:textId="3F3C1C00" w:rsidR="004B49C7" w:rsidRPr="004B49C7" w:rsidRDefault="004B49C7" w:rsidP="004B49C7">
      <w:pPr>
        <w:pStyle w:val="Sinespaciado"/>
        <w:jc w:val="both"/>
        <w:rPr>
          <w:rFonts w:ascii="Verdana" w:hAnsi="Verdana"/>
        </w:rPr>
      </w:pPr>
      <w:r w:rsidRPr="004B49C7">
        <w:rPr>
          <w:rFonts w:ascii="Verdana" w:hAnsi="Verdana"/>
        </w:rPr>
        <w:t xml:space="preserve">El Gobierno Nacional podrá adquirir tecnologías en salud destinadas a prevenir, atender y monitorear cualquier pandemia declarada por la </w:t>
      </w:r>
      <w:r w:rsidRPr="004B49C7">
        <w:rPr>
          <w:rFonts w:ascii="Verdana" w:hAnsi="Verdana"/>
        </w:rPr>
        <w:lastRenderedPageBreak/>
        <w:t>Organización Mundial de la Salud - OMS, con el fin de conformar y mantener una reserva de las mismas que le permita tener capacidades para responder a situaciones que llegaren a incrementar su demanda. Se estructurará un esquema colaborativo que incentive la producción científica en tecnologías de salud y la transferencia de conocimiento en las instituciones de educación superior del país.</w:t>
      </w:r>
    </w:p>
    <w:p w14:paraId="376889F4" w14:textId="426D34F5" w:rsidR="001C0C16" w:rsidRDefault="001C0C16" w:rsidP="004B49C7">
      <w:pPr>
        <w:pStyle w:val="Sinespaciado"/>
        <w:jc w:val="both"/>
        <w:rPr>
          <w:rFonts w:ascii="Verdana" w:hAnsi="Verdana"/>
        </w:rPr>
      </w:pPr>
    </w:p>
    <w:p w14:paraId="34B50CEA" w14:textId="77777777" w:rsidR="001C0C16" w:rsidRPr="004B49C7" w:rsidRDefault="003406F6" w:rsidP="004B49C7">
      <w:pPr>
        <w:pStyle w:val="Sinespaciado"/>
        <w:jc w:val="both"/>
        <w:rPr>
          <w:rFonts w:ascii="Verdana" w:hAnsi="Verdana"/>
        </w:rPr>
      </w:pPr>
      <w:r w:rsidRPr="004B49C7">
        <w:rPr>
          <w:rStyle w:val="Cuerpodeltexto2Negrita"/>
          <w:rFonts w:ascii="Verdana" w:hAnsi="Verdana"/>
        </w:rPr>
        <w:t xml:space="preserve">ARTÍCULO TERCERO. </w:t>
      </w:r>
      <w:r w:rsidRPr="004B49C7">
        <w:rPr>
          <w:rFonts w:ascii="Verdana" w:hAnsi="Verdana"/>
        </w:rPr>
        <w:t>Adiciónese un artículo 257-2 al Estatuto Tributario, el cual quedará así:</w:t>
      </w:r>
    </w:p>
    <w:p w14:paraId="135E985F" w14:textId="77777777" w:rsidR="00282BB0" w:rsidRDefault="00282BB0" w:rsidP="004B49C7">
      <w:pPr>
        <w:pStyle w:val="Sinespaciado"/>
        <w:jc w:val="both"/>
        <w:rPr>
          <w:rFonts w:ascii="Verdana" w:hAnsi="Verdana"/>
        </w:rPr>
      </w:pPr>
    </w:p>
    <w:p w14:paraId="20BD2C66" w14:textId="67885FDB" w:rsidR="001C0C16" w:rsidRPr="004B49C7" w:rsidRDefault="003406F6" w:rsidP="00282BB0">
      <w:pPr>
        <w:pStyle w:val="Sinespaciado"/>
        <w:ind w:left="708"/>
        <w:jc w:val="both"/>
        <w:rPr>
          <w:rFonts w:ascii="Verdana" w:hAnsi="Verdana"/>
        </w:rPr>
      </w:pPr>
      <w:r w:rsidRPr="004B49C7">
        <w:rPr>
          <w:rFonts w:ascii="Verdana" w:hAnsi="Verdana"/>
        </w:rPr>
        <w:t>Artículo 257-2. Descuento tributario por donaciones tendientes a lograr la inmunización de la población colombiana frente a la Covid-19 y cualquier otra pandemia. Las donaciones que realicen las personas naturales residentes y las personas jurídicas contribuyentes del impuesto sobre la renta de la tarifa general a la Subcuenta de Mitigación de Emergencias - COVID19 del Fondo Nacional de Gestión del Riesgo o a cualquier otra subcuenta, destinadas a la adquisición de vacunas, moléculas en experimentación, anticipos reembolsables y no reembolsares para el desarrollo de vacunas, transferencia de ciencia y tecnología, capacidad instalada en el territorio nacional y todas las actividades tendientes a lograr la inmunización de la población colombiana frente al Cov</w:t>
      </w:r>
      <w:r w:rsidR="00282BB0">
        <w:rPr>
          <w:rFonts w:ascii="Verdana" w:hAnsi="Verdana"/>
        </w:rPr>
        <w:t>i</w:t>
      </w:r>
      <w:r w:rsidRPr="004B49C7">
        <w:rPr>
          <w:rFonts w:ascii="Verdana" w:hAnsi="Verdana"/>
        </w:rPr>
        <w:t>d-19 y cualquier otra pandemia, darán lugar a un descuento del impuesto sobre la renta, equivalente al 50% de la donación realizada en el año o periodo gravable. El presente tratamiento no podrá aplicarse con otros beneficios o aminoraciones tributarias.</w:t>
      </w:r>
    </w:p>
    <w:p w14:paraId="1D9AF616" w14:textId="77777777" w:rsidR="00282BB0" w:rsidRDefault="00282BB0" w:rsidP="00282BB0">
      <w:pPr>
        <w:pStyle w:val="Sinespaciado"/>
        <w:ind w:left="708"/>
        <w:jc w:val="both"/>
        <w:rPr>
          <w:rFonts w:ascii="Verdana" w:hAnsi="Verdana"/>
        </w:rPr>
      </w:pPr>
    </w:p>
    <w:p w14:paraId="145D1229" w14:textId="75D23DD4" w:rsidR="001C0C16" w:rsidRPr="004B49C7" w:rsidRDefault="003406F6" w:rsidP="00282BB0">
      <w:pPr>
        <w:pStyle w:val="Sinespaciado"/>
        <w:ind w:left="708"/>
        <w:jc w:val="both"/>
        <w:rPr>
          <w:rFonts w:ascii="Verdana" w:hAnsi="Verdana"/>
        </w:rPr>
      </w:pPr>
      <w:r w:rsidRPr="004B49C7">
        <w:rPr>
          <w:rFonts w:ascii="Verdana" w:hAnsi="Verdana"/>
        </w:rPr>
        <w:t>La donación deberá contar con el aval previo por parte del Ministerio de Salud y Protección Social y deberá ser certificada por el Gerente del Fondo Nacional de Gestión del Riesgo. El Gobierno nacional reglamentará los requisitos para que proceda este descuento.</w:t>
      </w:r>
    </w:p>
    <w:p w14:paraId="05025D5E" w14:textId="77777777" w:rsidR="00282BB0" w:rsidRDefault="00282BB0" w:rsidP="00282BB0">
      <w:pPr>
        <w:pStyle w:val="Sinespaciado"/>
        <w:ind w:left="708"/>
        <w:jc w:val="both"/>
        <w:rPr>
          <w:rFonts w:ascii="Verdana" w:hAnsi="Verdana"/>
        </w:rPr>
      </w:pPr>
    </w:p>
    <w:p w14:paraId="518E5ED9" w14:textId="5CDF7E6F" w:rsidR="001C0C16" w:rsidRPr="004B49C7" w:rsidRDefault="003406F6" w:rsidP="00282BB0">
      <w:pPr>
        <w:pStyle w:val="Sinespaciado"/>
        <w:ind w:left="708"/>
        <w:jc w:val="both"/>
        <w:rPr>
          <w:rFonts w:ascii="Verdana" w:hAnsi="Verdana"/>
        </w:rPr>
      </w:pPr>
      <w:r w:rsidRPr="004B49C7">
        <w:rPr>
          <w:rFonts w:ascii="Verdana" w:hAnsi="Verdana"/>
        </w:rPr>
        <w:t>En ningún caso, el descuento tributario aquí establecido generará saldo a favor susceptible de devolución. El descuento tributario aquí establecido no será considerado para la determinación de los límites establecidos en el inciso tercero del artículo 259-2 del Estatuto Tributario.</w:t>
      </w:r>
    </w:p>
    <w:p w14:paraId="7CA1A828" w14:textId="77777777" w:rsidR="00282BB0" w:rsidRDefault="00282BB0" w:rsidP="00282BB0">
      <w:pPr>
        <w:pStyle w:val="Sinespaciado"/>
        <w:ind w:left="708"/>
        <w:jc w:val="both"/>
        <w:rPr>
          <w:rFonts w:ascii="Verdana" w:hAnsi="Verdana"/>
        </w:rPr>
      </w:pPr>
    </w:p>
    <w:p w14:paraId="5DD98E43" w14:textId="501C9C02" w:rsidR="001C0C16" w:rsidRPr="004B49C7" w:rsidRDefault="003406F6" w:rsidP="00282BB0">
      <w:pPr>
        <w:pStyle w:val="Sinespaciado"/>
        <w:ind w:left="708"/>
        <w:jc w:val="both"/>
        <w:rPr>
          <w:rFonts w:ascii="Verdana" w:hAnsi="Verdana"/>
        </w:rPr>
      </w:pPr>
      <w:r w:rsidRPr="004B49C7">
        <w:rPr>
          <w:rFonts w:ascii="Verdana" w:hAnsi="Verdana"/>
        </w:rPr>
        <w:t xml:space="preserve">Parágrafo </w:t>
      </w:r>
      <w:r w:rsidR="00282BB0">
        <w:rPr>
          <w:rFonts w:ascii="Verdana" w:hAnsi="Verdana"/>
        </w:rPr>
        <w:t>1</w:t>
      </w:r>
      <w:r w:rsidRPr="004B49C7">
        <w:rPr>
          <w:rFonts w:ascii="Verdana" w:hAnsi="Verdana"/>
          <w:vertAlign w:val="superscript"/>
        </w:rPr>
        <w:t>o</w:t>
      </w:r>
      <w:r w:rsidRPr="004B49C7">
        <w:rPr>
          <w:rFonts w:ascii="Verdana" w:hAnsi="Verdana"/>
        </w:rPr>
        <w:t>. El Consejo Superior de Política Fiscal - CONFIS definirá el cupo máximo de donaciones que podrá certificar bajo esta modalidad el Gerente del Fondo Nacional de Gestión del Riesgo.</w:t>
      </w:r>
    </w:p>
    <w:p w14:paraId="4B52804E" w14:textId="77777777" w:rsidR="00282BB0" w:rsidRDefault="00282BB0" w:rsidP="00282BB0">
      <w:pPr>
        <w:pStyle w:val="Sinespaciado"/>
        <w:ind w:left="708"/>
        <w:jc w:val="both"/>
        <w:rPr>
          <w:rFonts w:ascii="Verdana" w:hAnsi="Verdana"/>
        </w:rPr>
      </w:pPr>
    </w:p>
    <w:p w14:paraId="7E337B99" w14:textId="7499CCCB" w:rsidR="001C0C16" w:rsidRPr="004B49C7" w:rsidRDefault="003406F6" w:rsidP="00282BB0">
      <w:pPr>
        <w:pStyle w:val="Sinespaciado"/>
        <w:ind w:left="708"/>
        <w:jc w:val="both"/>
        <w:rPr>
          <w:rFonts w:ascii="Verdana" w:hAnsi="Verdana"/>
        </w:rPr>
      </w:pPr>
      <w:r w:rsidRPr="004B49C7">
        <w:rPr>
          <w:rFonts w:ascii="Verdana" w:hAnsi="Verdana"/>
        </w:rPr>
        <w:lastRenderedPageBreak/>
        <w:t>Parágrafo 2</w:t>
      </w:r>
      <w:r w:rsidRPr="004B49C7">
        <w:rPr>
          <w:rFonts w:ascii="Verdana" w:hAnsi="Verdana"/>
          <w:vertAlign w:val="superscript"/>
        </w:rPr>
        <w:t>o</w:t>
      </w:r>
      <w:r w:rsidRPr="004B49C7">
        <w:rPr>
          <w:rFonts w:ascii="Verdana" w:hAnsi="Verdana"/>
        </w:rPr>
        <w:t>. El beneficio tributario establecido en este artículo solo regirá para los años gravables 2021 y 2022 en el caso de la pandemia suscitada por la Covid-19; y en caso de una nueva pandemia declarada por la Organización Mundial de la Salud - OMS, aplicará por el primer año gravable en que se necesiten adquirir los productos para su inmunización y el año gravable siguiente.</w:t>
      </w:r>
    </w:p>
    <w:p w14:paraId="254160B1" w14:textId="77777777" w:rsidR="00282BB0" w:rsidRDefault="00282BB0" w:rsidP="00282BB0">
      <w:pPr>
        <w:pStyle w:val="Sinespaciado"/>
        <w:ind w:left="708"/>
        <w:jc w:val="both"/>
        <w:rPr>
          <w:rFonts w:ascii="Verdana" w:hAnsi="Verdana"/>
        </w:rPr>
      </w:pPr>
    </w:p>
    <w:p w14:paraId="1819A5EE" w14:textId="37111437" w:rsidR="001C0C16" w:rsidRPr="004B49C7" w:rsidRDefault="003406F6" w:rsidP="00282BB0">
      <w:pPr>
        <w:pStyle w:val="Sinespaciado"/>
        <w:ind w:left="708"/>
        <w:jc w:val="both"/>
        <w:rPr>
          <w:rFonts w:ascii="Verdana" w:hAnsi="Verdana"/>
        </w:rPr>
      </w:pPr>
      <w:r w:rsidRPr="004B49C7">
        <w:rPr>
          <w:rFonts w:ascii="Verdana" w:hAnsi="Verdana"/>
        </w:rPr>
        <w:t>Parágrafo 3</w:t>
      </w:r>
      <w:r w:rsidRPr="004B49C7">
        <w:rPr>
          <w:rFonts w:ascii="Verdana" w:hAnsi="Verdana"/>
          <w:vertAlign w:val="superscript"/>
        </w:rPr>
        <w:t>o</w:t>
      </w:r>
      <w:r w:rsidRPr="004B49C7">
        <w:rPr>
          <w:rFonts w:ascii="Verdana" w:hAnsi="Verdana"/>
        </w:rPr>
        <w:t>. Del beneficio tributario establecido en este artículo no podrán participar empresas del sector de la salud nacionales ni internacionales, y tampoco Empresas Promotoras de Salud ni Instituciones Prestadoras de Salud.</w:t>
      </w:r>
    </w:p>
    <w:p w14:paraId="727E91A6" w14:textId="77777777" w:rsidR="00282BB0" w:rsidRDefault="00282BB0" w:rsidP="00282BB0">
      <w:pPr>
        <w:pStyle w:val="Sinespaciado"/>
        <w:ind w:left="708"/>
        <w:jc w:val="both"/>
        <w:rPr>
          <w:rFonts w:ascii="Verdana" w:hAnsi="Verdana"/>
        </w:rPr>
      </w:pPr>
    </w:p>
    <w:p w14:paraId="2AFF4CFD" w14:textId="5827308E" w:rsidR="001C0C16" w:rsidRPr="004B49C7" w:rsidRDefault="003406F6" w:rsidP="00282BB0">
      <w:pPr>
        <w:pStyle w:val="Sinespaciado"/>
        <w:ind w:left="708"/>
        <w:jc w:val="both"/>
        <w:rPr>
          <w:rFonts w:ascii="Verdana" w:hAnsi="Verdana"/>
        </w:rPr>
      </w:pPr>
      <w:r w:rsidRPr="004B49C7">
        <w:rPr>
          <w:rFonts w:ascii="Verdana" w:hAnsi="Verdana"/>
        </w:rPr>
        <w:t>Parágrafo 4</w:t>
      </w:r>
      <w:r w:rsidRPr="004B49C7">
        <w:rPr>
          <w:rFonts w:ascii="Verdana" w:hAnsi="Verdana"/>
          <w:vertAlign w:val="superscript"/>
        </w:rPr>
        <w:t>o</w:t>
      </w:r>
      <w:r w:rsidRPr="004B49C7">
        <w:rPr>
          <w:rFonts w:ascii="Verdana" w:hAnsi="Verdana"/>
        </w:rPr>
        <w:t>. Las donaciones objeto de este artículo solo se podrán realizar en dinero y el pago debe haberse realizado a través del sistema financiero.</w:t>
      </w:r>
    </w:p>
    <w:p w14:paraId="18B87235" w14:textId="77777777" w:rsidR="00282BB0" w:rsidRDefault="00282BB0" w:rsidP="004B49C7">
      <w:pPr>
        <w:pStyle w:val="Sinespaciado"/>
        <w:jc w:val="both"/>
        <w:rPr>
          <w:rStyle w:val="Cuerpodeltexto2Negrita"/>
          <w:rFonts w:ascii="Verdana" w:hAnsi="Verdana"/>
        </w:rPr>
      </w:pPr>
    </w:p>
    <w:p w14:paraId="02BC01D6" w14:textId="77777777" w:rsidR="00282BB0" w:rsidRDefault="003406F6" w:rsidP="004B49C7">
      <w:pPr>
        <w:pStyle w:val="Sinespaciado"/>
        <w:jc w:val="both"/>
        <w:rPr>
          <w:rFonts w:ascii="Verdana" w:hAnsi="Verdana"/>
        </w:rPr>
      </w:pPr>
      <w:r w:rsidRPr="004B49C7">
        <w:rPr>
          <w:rStyle w:val="Cuerpodeltexto2Negrita"/>
          <w:rFonts w:ascii="Verdana" w:hAnsi="Verdana"/>
        </w:rPr>
        <w:t xml:space="preserve">ARTÍCULO CUARTO. Consejo de Evaluación de las Reacciones Adversas a la Vacuna Contra la Covid-19. </w:t>
      </w:r>
      <w:r w:rsidRPr="004B49C7">
        <w:rPr>
          <w:rFonts w:ascii="Verdana" w:hAnsi="Verdana"/>
        </w:rPr>
        <w:t xml:space="preserve">Créase, como parte del Instituto de Evaluación de Tecnologías en Salud - IETS, el Consejo de Evaluación de las Reacciones Adversas a la Vacuna Contra la </w:t>
      </w:r>
      <w:r w:rsidR="00282BB0">
        <w:rPr>
          <w:rFonts w:ascii="Verdana" w:hAnsi="Verdana"/>
        </w:rPr>
        <w:t>Covid</w:t>
      </w:r>
      <w:r w:rsidRPr="004B49C7">
        <w:rPr>
          <w:rFonts w:ascii="Verdana" w:hAnsi="Verdana"/>
        </w:rPr>
        <w:t>-19, para las vacunas que hayan sido suministradas por el Estado Colombiano.</w:t>
      </w:r>
    </w:p>
    <w:p w14:paraId="5091B449" w14:textId="77777777" w:rsidR="00282BB0" w:rsidRDefault="00282BB0" w:rsidP="004B49C7">
      <w:pPr>
        <w:pStyle w:val="Sinespaciado"/>
        <w:jc w:val="both"/>
        <w:rPr>
          <w:rFonts w:ascii="Verdana" w:hAnsi="Verdana"/>
        </w:rPr>
      </w:pPr>
    </w:p>
    <w:p w14:paraId="66285CC5" w14:textId="019F1FC0" w:rsidR="004B49C7" w:rsidRPr="004B49C7" w:rsidRDefault="004B49C7" w:rsidP="004B49C7">
      <w:pPr>
        <w:pStyle w:val="Sinespaciado"/>
        <w:jc w:val="both"/>
        <w:rPr>
          <w:rFonts w:ascii="Verdana" w:hAnsi="Verdana"/>
        </w:rPr>
      </w:pPr>
      <w:r w:rsidRPr="004B49C7">
        <w:rPr>
          <w:rFonts w:ascii="Verdana" w:hAnsi="Verdana"/>
        </w:rPr>
        <w:t xml:space="preserve">El Consejo de Evaluación tendrá por objeto evaluar la existencia o Inexistencia de un nexo causal entre el evento adverso sufrido por un habitante del territorio nacional y la aplicación de la vacuna contra la </w:t>
      </w:r>
      <w:r w:rsidR="00282BB0">
        <w:rPr>
          <w:rFonts w:ascii="Verdana" w:hAnsi="Verdana"/>
        </w:rPr>
        <w:t>Covid</w:t>
      </w:r>
      <w:r w:rsidRPr="004B49C7">
        <w:rPr>
          <w:rFonts w:ascii="Verdana" w:hAnsi="Verdana"/>
        </w:rPr>
        <w:t>-19 por parte del Estado Colombiano.</w:t>
      </w:r>
    </w:p>
    <w:p w14:paraId="1BC88ED5" w14:textId="77777777" w:rsidR="00282BB0" w:rsidRDefault="00282BB0" w:rsidP="004B49C7">
      <w:pPr>
        <w:pStyle w:val="Sinespaciado"/>
        <w:jc w:val="both"/>
        <w:rPr>
          <w:rFonts w:ascii="Verdana" w:hAnsi="Verdana"/>
        </w:rPr>
      </w:pPr>
    </w:p>
    <w:p w14:paraId="357BCEEE" w14:textId="00BE3374" w:rsidR="004B49C7" w:rsidRPr="004B49C7" w:rsidRDefault="004B49C7" w:rsidP="004B49C7">
      <w:pPr>
        <w:pStyle w:val="Sinespaciado"/>
        <w:jc w:val="both"/>
        <w:rPr>
          <w:rFonts w:ascii="Verdana" w:hAnsi="Verdana"/>
        </w:rPr>
      </w:pPr>
      <w:r w:rsidRPr="004B49C7">
        <w:rPr>
          <w:rFonts w:ascii="Verdana" w:hAnsi="Verdana"/>
        </w:rPr>
        <w:t xml:space="preserve">Dicho consejo contará con al menos cinco (5) consejeros expertos, quienes tendrán el apoyo técnico de un grupo científico dedicado por el IETS para la evaluación de los eventos generados por las vacunas contra la </w:t>
      </w:r>
      <w:r w:rsidR="00282BB0">
        <w:rPr>
          <w:rFonts w:ascii="Verdana" w:hAnsi="Verdana"/>
        </w:rPr>
        <w:t>Covid</w:t>
      </w:r>
      <w:r w:rsidRPr="004B49C7">
        <w:rPr>
          <w:rFonts w:ascii="Verdana" w:hAnsi="Verdana"/>
        </w:rPr>
        <w:t>-19.</w:t>
      </w:r>
    </w:p>
    <w:p w14:paraId="6F3E1A8C" w14:textId="77777777" w:rsidR="00282BB0" w:rsidRDefault="00282BB0" w:rsidP="004B49C7">
      <w:pPr>
        <w:pStyle w:val="Sinespaciado"/>
        <w:jc w:val="both"/>
        <w:rPr>
          <w:rFonts w:ascii="Verdana" w:hAnsi="Verdana"/>
        </w:rPr>
      </w:pPr>
    </w:p>
    <w:p w14:paraId="69BE405F" w14:textId="1481BFE5" w:rsidR="004B49C7" w:rsidRPr="004B49C7" w:rsidRDefault="004B49C7" w:rsidP="004B49C7">
      <w:pPr>
        <w:pStyle w:val="Sinespaciado"/>
        <w:jc w:val="both"/>
        <w:rPr>
          <w:rFonts w:ascii="Verdana" w:hAnsi="Verdana"/>
        </w:rPr>
      </w:pPr>
      <w:r w:rsidRPr="00282BB0">
        <w:rPr>
          <w:rFonts w:ascii="Verdana" w:hAnsi="Verdana"/>
          <w:b/>
          <w:bCs/>
        </w:rPr>
        <w:t xml:space="preserve">Parágrafo </w:t>
      </w:r>
      <w:r w:rsidR="00282BB0" w:rsidRPr="00282BB0">
        <w:rPr>
          <w:rFonts w:ascii="Verdana" w:hAnsi="Verdana"/>
          <w:b/>
          <w:bCs/>
        </w:rPr>
        <w:t>1</w:t>
      </w:r>
      <w:r w:rsidRPr="00282BB0">
        <w:rPr>
          <w:rFonts w:ascii="Verdana" w:hAnsi="Verdana"/>
          <w:b/>
          <w:bCs/>
        </w:rPr>
        <w:t>o.</w:t>
      </w:r>
      <w:r w:rsidRPr="004B49C7">
        <w:rPr>
          <w:rFonts w:ascii="Verdana" w:hAnsi="Verdana"/>
        </w:rPr>
        <w:t xml:space="preserve"> El funcionamiento del Consejo de Evaluación de las Reacciones Adversas a la Vacuna contra la </w:t>
      </w:r>
      <w:r w:rsidR="00282BB0">
        <w:rPr>
          <w:rFonts w:ascii="Verdana" w:hAnsi="Verdana"/>
        </w:rPr>
        <w:t>Covid</w:t>
      </w:r>
      <w:r w:rsidRPr="004B49C7">
        <w:rPr>
          <w:rFonts w:ascii="Verdana" w:hAnsi="Verdana"/>
        </w:rPr>
        <w:t>-19 será reglamentado por el Gobierno Nacional y se financiará con recursos del Fondo de Mitigación de Emergencias - FOME o por recursos del Presupuesto General de la Nación. El Ministerio de Hacienda y Crédito Público asegurará los recursos necesarios para que el Consejo de Evaluación cuente con el soporte técnico necesario de acuerdo con el crecimiento de las solicitudes a su cargo.</w:t>
      </w:r>
    </w:p>
    <w:p w14:paraId="5D809C97" w14:textId="77777777" w:rsidR="00282BB0" w:rsidRDefault="00282BB0" w:rsidP="004B49C7">
      <w:pPr>
        <w:pStyle w:val="Sinespaciado"/>
        <w:jc w:val="both"/>
        <w:rPr>
          <w:rFonts w:ascii="Verdana" w:hAnsi="Verdana"/>
        </w:rPr>
      </w:pPr>
    </w:p>
    <w:p w14:paraId="42B87A64" w14:textId="7DAEDC6D" w:rsidR="004B49C7" w:rsidRPr="004B49C7" w:rsidRDefault="004B49C7" w:rsidP="004B49C7">
      <w:pPr>
        <w:pStyle w:val="Sinespaciado"/>
        <w:jc w:val="both"/>
        <w:rPr>
          <w:rFonts w:ascii="Verdana" w:hAnsi="Verdana"/>
        </w:rPr>
      </w:pPr>
      <w:r w:rsidRPr="00282BB0">
        <w:rPr>
          <w:rFonts w:ascii="Verdana" w:hAnsi="Verdana"/>
          <w:b/>
          <w:bCs/>
        </w:rPr>
        <w:t>Parágrafo 2o.</w:t>
      </w:r>
      <w:r w:rsidRPr="004B49C7">
        <w:rPr>
          <w:rFonts w:ascii="Verdana" w:hAnsi="Verdana"/>
        </w:rPr>
        <w:t xml:space="preserve"> El Gobierno nacional reglamentará el procedimiento y el término en el cual el Consejo de Evaluación de las Reacciones Adversas a la Vacuna Contra la </w:t>
      </w:r>
      <w:r w:rsidR="00282BB0">
        <w:rPr>
          <w:rFonts w:ascii="Verdana" w:hAnsi="Verdana"/>
        </w:rPr>
        <w:t>Covid</w:t>
      </w:r>
      <w:r w:rsidRPr="004B49C7">
        <w:rPr>
          <w:rFonts w:ascii="Verdana" w:hAnsi="Verdana"/>
        </w:rPr>
        <w:t xml:space="preserve">-19 deberá emitir respuesta a la evaluación de </w:t>
      </w:r>
      <w:r w:rsidRPr="004B49C7">
        <w:rPr>
          <w:rFonts w:ascii="Verdana" w:hAnsi="Verdana"/>
        </w:rPr>
        <w:lastRenderedPageBreak/>
        <w:t xml:space="preserve">existencia o </w:t>
      </w:r>
      <w:r w:rsidR="00282BB0">
        <w:rPr>
          <w:rFonts w:ascii="Verdana" w:hAnsi="Verdana"/>
        </w:rPr>
        <w:t>i</w:t>
      </w:r>
      <w:r w:rsidRPr="004B49C7">
        <w:rPr>
          <w:rFonts w:ascii="Verdana" w:hAnsi="Verdana"/>
        </w:rPr>
        <w:t>nexistencia de un nexo causal entre el evento adverso sufrido por un habitante del territorio nacional y la aplicación de la vacuna contra la Covid-19 por parte del Estado Colombiano.</w:t>
      </w:r>
    </w:p>
    <w:p w14:paraId="38DD9605" w14:textId="77777777" w:rsidR="00282BB0" w:rsidRDefault="00282BB0" w:rsidP="004B49C7">
      <w:pPr>
        <w:pStyle w:val="Sinespaciado"/>
        <w:jc w:val="both"/>
        <w:rPr>
          <w:rFonts w:ascii="Verdana" w:hAnsi="Verdana"/>
        </w:rPr>
      </w:pPr>
    </w:p>
    <w:p w14:paraId="3A3C2E29" w14:textId="17BCA54A" w:rsidR="004B49C7" w:rsidRPr="004B49C7" w:rsidRDefault="004B49C7" w:rsidP="004B49C7">
      <w:pPr>
        <w:pStyle w:val="Sinespaciado"/>
        <w:jc w:val="both"/>
        <w:rPr>
          <w:rFonts w:ascii="Verdana" w:hAnsi="Verdana"/>
        </w:rPr>
      </w:pPr>
      <w:r w:rsidRPr="00282BB0">
        <w:rPr>
          <w:rFonts w:ascii="Verdana" w:hAnsi="Verdana"/>
          <w:b/>
          <w:bCs/>
        </w:rPr>
        <w:t>Parágrafo 3o.</w:t>
      </w:r>
      <w:r w:rsidRPr="004B49C7">
        <w:rPr>
          <w:rFonts w:ascii="Verdana" w:hAnsi="Verdana"/>
        </w:rPr>
        <w:t xml:space="preserve"> El Consejo de Evaluación de las Reacciones Adversas a la Vacuna Contra la </w:t>
      </w:r>
      <w:r w:rsidR="00282BB0">
        <w:rPr>
          <w:rFonts w:ascii="Verdana" w:hAnsi="Verdana"/>
        </w:rPr>
        <w:t>Covid</w:t>
      </w:r>
      <w:r w:rsidRPr="004B49C7">
        <w:rPr>
          <w:rFonts w:ascii="Verdana" w:hAnsi="Verdana"/>
        </w:rPr>
        <w:t xml:space="preserve">-19, durante el primer año de vigencia de la presente ley, emitirá un informe trimestral público sobre los avances y resultados de su objeto y financiación. A partir del segundo año de vigencia de la presente ley, el Consejo emitirá un </w:t>
      </w:r>
      <w:r w:rsidR="00282BB0">
        <w:rPr>
          <w:rFonts w:ascii="Verdana" w:hAnsi="Verdana"/>
        </w:rPr>
        <w:t>i</w:t>
      </w:r>
      <w:r w:rsidRPr="004B49C7">
        <w:rPr>
          <w:rFonts w:ascii="Verdana" w:hAnsi="Verdana"/>
        </w:rPr>
        <w:t>nforme anual.</w:t>
      </w:r>
    </w:p>
    <w:p w14:paraId="7FC05D8C" w14:textId="77777777" w:rsidR="00282BB0" w:rsidRDefault="00282BB0" w:rsidP="004B49C7">
      <w:pPr>
        <w:pStyle w:val="Sinespaciado"/>
        <w:jc w:val="both"/>
        <w:rPr>
          <w:rFonts w:ascii="Verdana" w:hAnsi="Verdana"/>
        </w:rPr>
      </w:pPr>
    </w:p>
    <w:p w14:paraId="31C3C0F3" w14:textId="3B1DC2A1" w:rsidR="004B49C7" w:rsidRPr="004B49C7" w:rsidRDefault="004B49C7" w:rsidP="004B49C7">
      <w:pPr>
        <w:pStyle w:val="Sinespaciado"/>
        <w:jc w:val="both"/>
        <w:rPr>
          <w:rFonts w:ascii="Verdana" w:hAnsi="Verdana"/>
        </w:rPr>
      </w:pPr>
      <w:r w:rsidRPr="00282BB0">
        <w:rPr>
          <w:rFonts w:ascii="Verdana" w:hAnsi="Verdana"/>
          <w:b/>
          <w:bCs/>
        </w:rPr>
        <w:t>ARTÍCULO QUINTO. Responsabilidad de los fabricantes.</w:t>
      </w:r>
      <w:r w:rsidRPr="004B49C7">
        <w:rPr>
          <w:rFonts w:ascii="Verdana" w:hAnsi="Verdana"/>
        </w:rPr>
        <w:t xml:space="preserve"> Los fabricantes de vacunas contra la Covid-19 adquiridas y suministradas por el Gobierno Nacional sólo serán responsables por acciones u omisiones dolosas o gravemente culposas, o por el incumplimiento de sus obligaciones de buenas prácticas de manufactura o de cualquier otra obligación que le haya sido impuesta en el proceso de aprobación.</w:t>
      </w:r>
    </w:p>
    <w:p w14:paraId="34E02837" w14:textId="77777777" w:rsidR="00282BB0" w:rsidRDefault="00282BB0" w:rsidP="004B49C7">
      <w:pPr>
        <w:pStyle w:val="Sinespaciado"/>
        <w:jc w:val="both"/>
        <w:rPr>
          <w:rFonts w:ascii="Verdana" w:hAnsi="Verdana"/>
        </w:rPr>
      </w:pPr>
    </w:p>
    <w:p w14:paraId="3DCDECE4" w14:textId="11D1B381" w:rsidR="004B49C7" w:rsidRPr="004B49C7" w:rsidRDefault="004B49C7" w:rsidP="004B49C7">
      <w:pPr>
        <w:pStyle w:val="Sinespaciado"/>
        <w:jc w:val="both"/>
        <w:rPr>
          <w:rFonts w:ascii="Verdana" w:hAnsi="Verdana"/>
        </w:rPr>
      </w:pPr>
      <w:r w:rsidRPr="00282BB0">
        <w:rPr>
          <w:rFonts w:ascii="Verdana" w:hAnsi="Verdana"/>
          <w:b/>
          <w:bCs/>
        </w:rPr>
        <w:t>Parágrafo.</w:t>
      </w:r>
      <w:r w:rsidRPr="004B49C7">
        <w:rPr>
          <w:rFonts w:ascii="Verdana" w:hAnsi="Verdana"/>
        </w:rPr>
        <w:t xml:space="preserve"> El régimen de responsabilidad descrito en este artículo sólo será aplicable para las vacunas contra la Covid-19 y las que se generen en caso de otras pandemias, mientras estas se encuentren bajo un régimen de aprobación de emergencia o una aprobación especial transitoria por parte de las entidades competentes en el territorio nacional. Pasado este periodo deberán aplicarse las reglas de responsabilidad ordinarias.</w:t>
      </w:r>
    </w:p>
    <w:p w14:paraId="6D4E26E1" w14:textId="77777777" w:rsidR="00282BB0" w:rsidRDefault="00282BB0" w:rsidP="004B49C7">
      <w:pPr>
        <w:pStyle w:val="Sinespaciado"/>
        <w:jc w:val="both"/>
        <w:rPr>
          <w:rFonts w:ascii="Verdana" w:hAnsi="Verdana"/>
        </w:rPr>
      </w:pPr>
    </w:p>
    <w:p w14:paraId="7779F627" w14:textId="1673A358" w:rsidR="001C0C16" w:rsidRPr="004B49C7" w:rsidRDefault="004B49C7" w:rsidP="004B49C7">
      <w:pPr>
        <w:pStyle w:val="Sinespaciado"/>
        <w:jc w:val="both"/>
        <w:rPr>
          <w:rFonts w:ascii="Verdana" w:hAnsi="Verdana"/>
        </w:rPr>
      </w:pPr>
      <w:r w:rsidRPr="00282BB0">
        <w:rPr>
          <w:rFonts w:ascii="Verdana" w:hAnsi="Verdana"/>
          <w:b/>
          <w:bCs/>
        </w:rPr>
        <w:t>ARTÍCULO SEXTO. Jurisdicción competente.</w:t>
      </w:r>
      <w:r w:rsidRPr="004B49C7">
        <w:rPr>
          <w:rFonts w:ascii="Verdana" w:hAnsi="Verdana"/>
        </w:rPr>
        <w:t xml:space="preserve"> La jurisdicción competente para conocer de los procesos que inicien los particulares en los que se pretenda discutir y compensar los daños causados por las vacunas contra la Covid-19 que hayan sido suministradas por el Estado Colombiano, es la jurisdicción contencioso administrativa.</w:t>
      </w:r>
    </w:p>
    <w:p w14:paraId="1CE52105" w14:textId="6A36839E" w:rsidR="001C0C16" w:rsidRDefault="001C0C16" w:rsidP="004B49C7">
      <w:pPr>
        <w:pStyle w:val="Sinespaciado"/>
        <w:jc w:val="both"/>
        <w:rPr>
          <w:rFonts w:ascii="Verdana" w:hAnsi="Verdana"/>
        </w:rPr>
      </w:pPr>
    </w:p>
    <w:p w14:paraId="232AB30F" w14:textId="329ED705" w:rsidR="004B49C7" w:rsidRPr="004B49C7" w:rsidRDefault="00282BB0" w:rsidP="004B49C7">
      <w:pPr>
        <w:pStyle w:val="Sinespaciado"/>
        <w:jc w:val="both"/>
        <w:rPr>
          <w:rFonts w:ascii="Verdana" w:hAnsi="Verdana"/>
        </w:rPr>
      </w:pPr>
      <w:r w:rsidRPr="00282BB0">
        <w:rPr>
          <w:rFonts w:ascii="Verdana" w:hAnsi="Verdana"/>
          <w:b/>
          <w:bCs/>
        </w:rPr>
        <w:t>Pa</w:t>
      </w:r>
      <w:r w:rsidR="004B49C7" w:rsidRPr="00282BB0">
        <w:rPr>
          <w:rFonts w:ascii="Verdana" w:hAnsi="Verdana"/>
          <w:b/>
          <w:bCs/>
        </w:rPr>
        <w:t>rágrafo.</w:t>
      </w:r>
      <w:r w:rsidR="004B49C7" w:rsidRPr="004B49C7">
        <w:rPr>
          <w:rFonts w:ascii="Verdana" w:hAnsi="Verdana"/>
        </w:rPr>
        <w:t xml:space="preserve"> Será requisito de procedibilidad para acudir a la jurisdicción contencioso administrativa haber agotado la vía dispuesta en el artículo cuarto de la presente ley, y poseer respuesta del Consejo de Evaluación de las Reacciones Adversas a las Vacunas Contra la Covid-19.</w:t>
      </w:r>
    </w:p>
    <w:p w14:paraId="5E58988F" w14:textId="77777777" w:rsidR="00282BB0" w:rsidRDefault="00282BB0" w:rsidP="004B49C7">
      <w:pPr>
        <w:pStyle w:val="Sinespaciado"/>
        <w:jc w:val="both"/>
        <w:rPr>
          <w:rFonts w:ascii="Verdana" w:hAnsi="Verdana"/>
        </w:rPr>
      </w:pPr>
    </w:p>
    <w:p w14:paraId="3823FE32" w14:textId="12ABA7FF" w:rsidR="004B49C7" w:rsidRPr="004B49C7" w:rsidRDefault="004B49C7" w:rsidP="004B49C7">
      <w:pPr>
        <w:pStyle w:val="Sinespaciado"/>
        <w:jc w:val="both"/>
        <w:rPr>
          <w:rFonts w:ascii="Verdana" w:hAnsi="Verdana"/>
        </w:rPr>
      </w:pPr>
      <w:r w:rsidRPr="00282BB0">
        <w:rPr>
          <w:rFonts w:ascii="Verdana" w:hAnsi="Verdana"/>
          <w:b/>
          <w:bCs/>
        </w:rPr>
        <w:t>ARTÍCULO SÉPTIMO. Póliza de cobertura global.</w:t>
      </w:r>
      <w:r w:rsidRPr="004B49C7">
        <w:rPr>
          <w:rFonts w:ascii="Verdana" w:hAnsi="Verdana"/>
        </w:rPr>
        <w:t xml:space="preserve"> El Gobierno Nacional, sujeto a la disponibilidad de recursos, podrá contratar una póliza de cobertura global para cubrir las posibles condenas que puedan presentarse por reacciones adversas a las vacunas contra la Covid-19 aplicadas por el Estado Colombiano.</w:t>
      </w:r>
    </w:p>
    <w:p w14:paraId="71C2109C" w14:textId="77777777" w:rsidR="00282BB0" w:rsidRDefault="00282BB0" w:rsidP="004B49C7">
      <w:pPr>
        <w:pStyle w:val="Sinespaciado"/>
        <w:jc w:val="both"/>
        <w:rPr>
          <w:rFonts w:ascii="Verdana" w:hAnsi="Verdana"/>
        </w:rPr>
      </w:pPr>
    </w:p>
    <w:p w14:paraId="57DBA366" w14:textId="07E18543" w:rsidR="004B49C7" w:rsidRPr="004B49C7" w:rsidRDefault="004B49C7" w:rsidP="004B49C7">
      <w:pPr>
        <w:pStyle w:val="Sinespaciado"/>
        <w:jc w:val="both"/>
        <w:rPr>
          <w:rFonts w:ascii="Verdana" w:hAnsi="Verdana"/>
        </w:rPr>
      </w:pPr>
      <w:r w:rsidRPr="00282BB0">
        <w:rPr>
          <w:rFonts w:ascii="Verdana" w:hAnsi="Verdana"/>
          <w:b/>
          <w:bCs/>
        </w:rPr>
        <w:t>Parágrafo.</w:t>
      </w:r>
      <w:r w:rsidRPr="004B49C7">
        <w:rPr>
          <w:rFonts w:ascii="Verdana" w:hAnsi="Verdana"/>
        </w:rPr>
        <w:t xml:space="preserve"> Lo anterior no exime de responsabilidad civil contractual o </w:t>
      </w:r>
      <w:r w:rsidRPr="004B49C7">
        <w:rPr>
          <w:rFonts w:ascii="Verdana" w:hAnsi="Verdana"/>
        </w:rPr>
        <w:lastRenderedPageBreak/>
        <w:t>extracontractual a los fabricantes concerniente a las acciones u omisiones dolosas o gravemente culposas, o por el incumplimiento de sus obligaciones de buenas prácticas de manufactura o de cualquier otra obligación que le haya sido impuesta en el proceso de aprobación.</w:t>
      </w:r>
    </w:p>
    <w:p w14:paraId="65AB697F" w14:textId="77777777" w:rsidR="00282BB0" w:rsidRDefault="00282BB0" w:rsidP="004B49C7">
      <w:pPr>
        <w:pStyle w:val="Sinespaciado"/>
        <w:jc w:val="both"/>
        <w:rPr>
          <w:rFonts w:ascii="Verdana" w:hAnsi="Verdana"/>
        </w:rPr>
      </w:pPr>
    </w:p>
    <w:p w14:paraId="201854BA" w14:textId="69F982F6" w:rsidR="004B49C7" w:rsidRPr="004B49C7" w:rsidRDefault="004B49C7" w:rsidP="004B49C7">
      <w:pPr>
        <w:pStyle w:val="Sinespaciado"/>
        <w:jc w:val="both"/>
        <w:rPr>
          <w:rFonts w:ascii="Verdana" w:hAnsi="Verdana"/>
        </w:rPr>
      </w:pPr>
      <w:r w:rsidRPr="00282BB0">
        <w:rPr>
          <w:rFonts w:ascii="Verdana" w:hAnsi="Verdana"/>
          <w:b/>
          <w:bCs/>
        </w:rPr>
        <w:t>ARTÍCULO OCTAVO. Control fiscal.</w:t>
      </w:r>
      <w:r w:rsidRPr="004B49C7">
        <w:rPr>
          <w:rFonts w:ascii="Verdana" w:hAnsi="Verdana"/>
        </w:rPr>
        <w:t xml:space="preserve"> La ejecución de </w:t>
      </w:r>
      <w:r w:rsidR="00282BB0">
        <w:rPr>
          <w:rFonts w:ascii="Verdana" w:hAnsi="Verdana"/>
        </w:rPr>
        <w:t>l</w:t>
      </w:r>
      <w:r w:rsidRPr="004B49C7">
        <w:rPr>
          <w:rFonts w:ascii="Verdana" w:hAnsi="Verdana"/>
        </w:rPr>
        <w:t>os recursos de que trata la presente ley será objeto de control y vigilancia fiscal por parte de la Contraloría General de la República, de conformidad con sus funciones constitucionales y legales.</w:t>
      </w:r>
    </w:p>
    <w:p w14:paraId="499BDCF9" w14:textId="77777777" w:rsidR="00282BB0" w:rsidRDefault="00282BB0" w:rsidP="004B49C7">
      <w:pPr>
        <w:pStyle w:val="Sinespaciado"/>
        <w:jc w:val="both"/>
        <w:rPr>
          <w:rFonts w:ascii="Verdana" w:hAnsi="Verdana"/>
        </w:rPr>
      </w:pPr>
    </w:p>
    <w:p w14:paraId="607720C9" w14:textId="24220EBB" w:rsidR="004B49C7" w:rsidRPr="004B49C7" w:rsidRDefault="004B49C7" w:rsidP="004B49C7">
      <w:pPr>
        <w:pStyle w:val="Sinespaciado"/>
        <w:jc w:val="both"/>
        <w:rPr>
          <w:rFonts w:ascii="Verdana" w:hAnsi="Verdana"/>
        </w:rPr>
      </w:pPr>
      <w:r w:rsidRPr="00282BB0">
        <w:rPr>
          <w:rFonts w:ascii="Verdana" w:hAnsi="Verdana"/>
          <w:b/>
          <w:bCs/>
        </w:rPr>
        <w:t>ARTÍCULO NOVENO. Gratuidad.</w:t>
      </w:r>
      <w:r w:rsidRPr="004B49C7">
        <w:rPr>
          <w:rFonts w:ascii="Verdana" w:hAnsi="Verdana"/>
        </w:rPr>
        <w:t xml:space="preserve"> El proceso de inmunización del que trata la presente ley deberá efectuarse a cero costo para el beneficiario.</w:t>
      </w:r>
    </w:p>
    <w:p w14:paraId="6D6AC986" w14:textId="77777777" w:rsidR="00282BB0" w:rsidRDefault="00282BB0" w:rsidP="004B49C7">
      <w:pPr>
        <w:pStyle w:val="Sinespaciado"/>
        <w:jc w:val="both"/>
        <w:rPr>
          <w:rFonts w:ascii="Verdana" w:hAnsi="Verdana"/>
        </w:rPr>
      </w:pPr>
    </w:p>
    <w:p w14:paraId="5531A838" w14:textId="7B790968" w:rsidR="004B49C7" w:rsidRPr="004B49C7" w:rsidRDefault="004B49C7" w:rsidP="004B49C7">
      <w:pPr>
        <w:pStyle w:val="Sinespaciado"/>
        <w:jc w:val="both"/>
        <w:rPr>
          <w:rFonts w:ascii="Verdana" w:hAnsi="Verdana"/>
        </w:rPr>
      </w:pPr>
      <w:r w:rsidRPr="00282BB0">
        <w:rPr>
          <w:rFonts w:ascii="Verdana" w:hAnsi="Verdana"/>
          <w:b/>
          <w:bCs/>
        </w:rPr>
        <w:t>Parágrafo.</w:t>
      </w:r>
      <w:r w:rsidRPr="004B49C7">
        <w:rPr>
          <w:rFonts w:ascii="Verdana" w:hAnsi="Verdana"/>
        </w:rPr>
        <w:t xml:space="preserve"> Las vacunas serán priorizadas para los grupos poblacionales que establezca el Ministerio de Salud y Protección Social, de acuerdo con la estrategia de vacunación adoptada.</w:t>
      </w:r>
    </w:p>
    <w:p w14:paraId="1259E807" w14:textId="77777777" w:rsidR="00282BB0" w:rsidRDefault="00282BB0" w:rsidP="004B49C7">
      <w:pPr>
        <w:pStyle w:val="Sinespaciado"/>
        <w:jc w:val="both"/>
        <w:rPr>
          <w:rFonts w:ascii="Verdana" w:hAnsi="Verdana"/>
        </w:rPr>
      </w:pPr>
    </w:p>
    <w:p w14:paraId="6D0F4714" w14:textId="34C20581" w:rsidR="004B49C7" w:rsidRPr="004B49C7" w:rsidRDefault="004B49C7" w:rsidP="004B49C7">
      <w:pPr>
        <w:pStyle w:val="Sinespaciado"/>
        <w:jc w:val="both"/>
        <w:rPr>
          <w:rFonts w:ascii="Verdana" w:hAnsi="Verdana"/>
        </w:rPr>
      </w:pPr>
      <w:r w:rsidRPr="00282BB0">
        <w:rPr>
          <w:rFonts w:ascii="Verdana" w:hAnsi="Verdana"/>
          <w:b/>
          <w:bCs/>
        </w:rPr>
        <w:t>ARTÍCULO DÉCIMO. Transparencia y Control Ciudadano.</w:t>
      </w:r>
      <w:r w:rsidRPr="004B49C7">
        <w:rPr>
          <w:rFonts w:ascii="Verdana" w:hAnsi="Verdana"/>
        </w:rPr>
        <w:t xml:space="preserve"> El Ministerio de Salud y Protección Social emitirá y publicará mensualmente un informe de fácil acceso a la ciudadanía en relación con todas las gestiones y medidas que integran el objeto de la presente ley. Dicho informe deberá ser allegado y expuesto en sesiones ordinarias de las Comisiones Séptimas del Senado de la República y de la Cámara de Representantes. También deberá ser remitido a la Contraloría General de la República, sin perjuicio de las funciones constitucionales atribuidas a ese órgano de control.</w:t>
      </w:r>
    </w:p>
    <w:p w14:paraId="5CA77FC0" w14:textId="77777777" w:rsidR="00282BB0" w:rsidRDefault="00282BB0" w:rsidP="004B49C7">
      <w:pPr>
        <w:pStyle w:val="Sinespaciado"/>
        <w:jc w:val="both"/>
        <w:rPr>
          <w:rFonts w:ascii="Verdana" w:hAnsi="Verdana"/>
        </w:rPr>
      </w:pPr>
    </w:p>
    <w:p w14:paraId="7E26C931" w14:textId="1E2716EF" w:rsidR="004B49C7" w:rsidRPr="004B49C7" w:rsidRDefault="004B49C7" w:rsidP="004B49C7">
      <w:pPr>
        <w:pStyle w:val="Sinespaciado"/>
        <w:jc w:val="both"/>
        <w:rPr>
          <w:rFonts w:ascii="Verdana" w:hAnsi="Verdana"/>
        </w:rPr>
      </w:pPr>
      <w:r w:rsidRPr="00282BB0">
        <w:rPr>
          <w:rFonts w:ascii="Verdana" w:hAnsi="Verdana"/>
          <w:b/>
          <w:bCs/>
        </w:rPr>
        <w:t>ARTÍCULO DÉCIMO PRIMERO. Pedagogía sobre los procesos de inmunización contra la Covid-19.</w:t>
      </w:r>
      <w:r w:rsidRPr="004B49C7">
        <w:rPr>
          <w:rFonts w:ascii="Verdana" w:hAnsi="Verdana"/>
        </w:rPr>
        <w:t xml:space="preserve"> El Ministerio de Salud y Protección Social deberá realizar campañas pedagógicas dirigidas a los ciudadanos, sobre el funcionamiento y los procesos de inmunización contra la Covid-19, con el objetivo de consolidar el aprendizaje, confianza y diálogo en torno a la vacunación.</w:t>
      </w:r>
    </w:p>
    <w:p w14:paraId="53A5A40C" w14:textId="77777777" w:rsidR="00282BB0" w:rsidRDefault="00282BB0" w:rsidP="004B49C7">
      <w:pPr>
        <w:pStyle w:val="Sinespaciado"/>
        <w:jc w:val="both"/>
        <w:rPr>
          <w:rFonts w:ascii="Verdana" w:hAnsi="Verdana"/>
        </w:rPr>
      </w:pPr>
    </w:p>
    <w:p w14:paraId="701388B7" w14:textId="578F647B" w:rsidR="001C0C16" w:rsidRDefault="004B49C7" w:rsidP="004B49C7">
      <w:pPr>
        <w:pStyle w:val="Sinespaciado"/>
        <w:jc w:val="both"/>
        <w:rPr>
          <w:rFonts w:ascii="Verdana" w:hAnsi="Verdana"/>
        </w:rPr>
      </w:pPr>
      <w:r w:rsidRPr="00282BB0">
        <w:rPr>
          <w:rFonts w:ascii="Verdana" w:hAnsi="Verdana"/>
          <w:b/>
          <w:bCs/>
        </w:rPr>
        <w:t>ARTÍCULO DÉCIMO SEGUNDO. Vigencia.</w:t>
      </w:r>
      <w:r w:rsidRPr="004B49C7">
        <w:rPr>
          <w:rFonts w:ascii="Verdana" w:hAnsi="Verdana"/>
        </w:rPr>
        <w:t xml:space="preserve"> La presente ley rige a partir de su promulgación.</w:t>
      </w:r>
    </w:p>
    <w:p w14:paraId="330E96E7" w14:textId="51BFFC0D" w:rsidR="00282BB0" w:rsidRDefault="00282BB0" w:rsidP="004B49C7">
      <w:pPr>
        <w:pStyle w:val="Sinespaciado"/>
        <w:jc w:val="both"/>
        <w:rPr>
          <w:rFonts w:ascii="Verdana" w:hAnsi="Verdana"/>
        </w:rPr>
      </w:pPr>
    </w:p>
    <w:p w14:paraId="00AED863" w14:textId="77777777" w:rsidR="00282BB0" w:rsidRDefault="00282BB0" w:rsidP="004B49C7">
      <w:pPr>
        <w:pStyle w:val="Sinespaciado"/>
        <w:jc w:val="both"/>
        <w:rPr>
          <w:rFonts w:ascii="Verdana" w:hAnsi="Verdana"/>
        </w:rPr>
      </w:pPr>
    </w:p>
    <w:p w14:paraId="0FF3AB14" w14:textId="2C457BE5" w:rsidR="00282BB0" w:rsidRDefault="004B49C7" w:rsidP="004B49C7">
      <w:pPr>
        <w:pStyle w:val="Sinespaciado"/>
        <w:jc w:val="both"/>
        <w:rPr>
          <w:rFonts w:ascii="Verdana" w:hAnsi="Verdana"/>
        </w:rPr>
      </w:pPr>
      <w:r w:rsidRPr="004B49C7">
        <w:rPr>
          <w:rFonts w:ascii="Verdana" w:hAnsi="Verdana"/>
        </w:rPr>
        <w:t>EL PRESIDENTE DEL HONORABLE SENADO DE LA REPÚBLICA</w:t>
      </w:r>
    </w:p>
    <w:p w14:paraId="512EA8F0" w14:textId="77777777" w:rsidR="00282BB0" w:rsidRDefault="004B49C7" w:rsidP="004B49C7">
      <w:pPr>
        <w:pStyle w:val="Sinespaciado"/>
        <w:jc w:val="both"/>
        <w:rPr>
          <w:rFonts w:ascii="Verdana" w:hAnsi="Verdana"/>
          <w:b/>
          <w:bCs/>
        </w:rPr>
      </w:pPr>
      <w:r w:rsidRPr="00282BB0">
        <w:rPr>
          <w:rFonts w:ascii="Verdana" w:hAnsi="Verdana"/>
          <w:b/>
          <w:bCs/>
        </w:rPr>
        <w:t>ARTURO</w:t>
      </w:r>
      <w:r w:rsidR="00282BB0">
        <w:rPr>
          <w:rFonts w:ascii="Verdana" w:hAnsi="Verdana"/>
          <w:b/>
          <w:bCs/>
        </w:rPr>
        <w:t xml:space="preserve"> </w:t>
      </w:r>
      <w:r w:rsidRPr="00282BB0">
        <w:rPr>
          <w:rFonts w:ascii="Verdana" w:hAnsi="Verdana"/>
          <w:b/>
          <w:bCs/>
        </w:rPr>
        <w:t>CHAR</w:t>
      </w:r>
      <w:r w:rsidR="00282BB0">
        <w:rPr>
          <w:rFonts w:ascii="Verdana" w:hAnsi="Verdana"/>
          <w:b/>
          <w:bCs/>
        </w:rPr>
        <w:t xml:space="preserve"> </w:t>
      </w:r>
      <w:r w:rsidRPr="00282BB0">
        <w:rPr>
          <w:rFonts w:ascii="Verdana" w:hAnsi="Verdana"/>
          <w:b/>
          <w:bCs/>
        </w:rPr>
        <w:t>CHALJU</w:t>
      </w:r>
      <w:r w:rsidR="00282BB0">
        <w:rPr>
          <w:rFonts w:ascii="Verdana" w:hAnsi="Verdana"/>
          <w:b/>
          <w:bCs/>
        </w:rPr>
        <w:t>B</w:t>
      </w:r>
    </w:p>
    <w:p w14:paraId="41548068" w14:textId="77777777" w:rsidR="00282BB0" w:rsidRDefault="00282BB0" w:rsidP="004B49C7">
      <w:pPr>
        <w:pStyle w:val="Sinespaciado"/>
        <w:jc w:val="both"/>
        <w:rPr>
          <w:rFonts w:ascii="Verdana" w:hAnsi="Verdana"/>
          <w:b/>
          <w:bCs/>
        </w:rPr>
      </w:pPr>
    </w:p>
    <w:p w14:paraId="564A0E73" w14:textId="77777777" w:rsidR="00282BB0" w:rsidRDefault="004B49C7" w:rsidP="004B49C7">
      <w:pPr>
        <w:pStyle w:val="Sinespaciado"/>
        <w:jc w:val="both"/>
        <w:rPr>
          <w:rFonts w:ascii="Verdana" w:hAnsi="Verdana"/>
        </w:rPr>
      </w:pPr>
      <w:r w:rsidRPr="004B49C7">
        <w:rPr>
          <w:rFonts w:ascii="Verdana" w:hAnsi="Verdana"/>
        </w:rPr>
        <w:t>EL SECRETARIO GENEBAL</w:t>
      </w:r>
      <w:r w:rsidR="00282BB0">
        <w:rPr>
          <w:rFonts w:ascii="Verdana" w:hAnsi="Verdana"/>
        </w:rPr>
        <w:t xml:space="preserve"> DEL </w:t>
      </w:r>
      <w:r w:rsidRPr="004B49C7">
        <w:rPr>
          <w:rFonts w:ascii="Verdana" w:hAnsi="Verdana"/>
        </w:rPr>
        <w:t>HONORABLE SENADO DE LA REPUBLICA</w:t>
      </w:r>
    </w:p>
    <w:p w14:paraId="3ABA7C17" w14:textId="72193ADD" w:rsidR="004B49C7" w:rsidRPr="00282BB0" w:rsidRDefault="004B49C7" w:rsidP="004B49C7">
      <w:pPr>
        <w:pStyle w:val="Sinespaciado"/>
        <w:jc w:val="both"/>
        <w:rPr>
          <w:rFonts w:ascii="Verdana" w:hAnsi="Verdana"/>
          <w:b/>
          <w:bCs/>
        </w:rPr>
      </w:pPr>
      <w:r w:rsidRPr="00282BB0">
        <w:rPr>
          <w:rFonts w:ascii="Verdana" w:hAnsi="Verdana"/>
          <w:b/>
          <w:bCs/>
        </w:rPr>
        <w:t>GREGORIO ELJACH PACHECO</w:t>
      </w:r>
    </w:p>
    <w:p w14:paraId="50008B90" w14:textId="77777777" w:rsidR="00282BB0" w:rsidRDefault="004B49C7" w:rsidP="004B49C7">
      <w:pPr>
        <w:pStyle w:val="Sinespaciado"/>
        <w:jc w:val="both"/>
        <w:rPr>
          <w:rFonts w:ascii="Verdana" w:hAnsi="Verdana"/>
        </w:rPr>
      </w:pPr>
      <w:r w:rsidRPr="004B49C7">
        <w:rPr>
          <w:rFonts w:ascii="Verdana" w:hAnsi="Verdana"/>
        </w:rPr>
        <w:lastRenderedPageBreak/>
        <w:t>EL PRESIDENTE DE LA HONORABLE CÁMARA DE REPRESENTANTES</w:t>
      </w:r>
    </w:p>
    <w:p w14:paraId="6F6E9707" w14:textId="77777777" w:rsidR="00282BB0" w:rsidRDefault="004B49C7" w:rsidP="004B49C7">
      <w:pPr>
        <w:pStyle w:val="Sinespaciado"/>
        <w:jc w:val="both"/>
        <w:rPr>
          <w:rFonts w:ascii="Verdana" w:hAnsi="Verdana"/>
          <w:b/>
          <w:bCs/>
        </w:rPr>
      </w:pPr>
      <w:r w:rsidRPr="00282BB0">
        <w:rPr>
          <w:rFonts w:ascii="Verdana" w:hAnsi="Verdana"/>
          <w:b/>
          <w:bCs/>
        </w:rPr>
        <w:t>GERMÁN</w:t>
      </w:r>
      <w:r w:rsidR="00282BB0" w:rsidRPr="00282BB0">
        <w:rPr>
          <w:rFonts w:ascii="Verdana" w:hAnsi="Verdana"/>
          <w:b/>
          <w:bCs/>
        </w:rPr>
        <w:t xml:space="preserve"> ALCIDES BLANCO </w:t>
      </w:r>
      <w:r w:rsidRPr="00282BB0">
        <w:rPr>
          <w:rFonts w:ascii="Verdana" w:hAnsi="Verdana"/>
          <w:b/>
          <w:bCs/>
        </w:rPr>
        <w:t>ÁLVAREZ</w:t>
      </w:r>
    </w:p>
    <w:p w14:paraId="4F3654C2" w14:textId="77777777" w:rsidR="00282BB0" w:rsidRDefault="00282BB0" w:rsidP="004B49C7">
      <w:pPr>
        <w:pStyle w:val="Sinespaciado"/>
        <w:jc w:val="both"/>
        <w:rPr>
          <w:rFonts w:ascii="Verdana" w:hAnsi="Verdana"/>
          <w:b/>
          <w:bCs/>
        </w:rPr>
      </w:pPr>
    </w:p>
    <w:p w14:paraId="2684C744" w14:textId="00A4D970" w:rsidR="004B49C7" w:rsidRPr="004B49C7" w:rsidRDefault="004B49C7" w:rsidP="004B49C7">
      <w:pPr>
        <w:pStyle w:val="Sinespaciado"/>
        <w:jc w:val="both"/>
        <w:rPr>
          <w:rFonts w:ascii="Verdana" w:hAnsi="Verdana"/>
        </w:rPr>
      </w:pPr>
      <w:r w:rsidRPr="004B49C7">
        <w:rPr>
          <w:rFonts w:ascii="Verdana" w:hAnsi="Verdana"/>
        </w:rPr>
        <w:t>EL SECRETARIO GENERAL DE LA HONORABLE CÁMARA DE REPRESENTANTES</w:t>
      </w:r>
    </w:p>
    <w:p w14:paraId="5F03E76E" w14:textId="15131F35" w:rsidR="001C0C16" w:rsidRPr="00282BB0" w:rsidRDefault="00282BB0" w:rsidP="004B49C7">
      <w:pPr>
        <w:pStyle w:val="Sinespaciado"/>
        <w:jc w:val="both"/>
        <w:rPr>
          <w:rFonts w:ascii="Verdana" w:hAnsi="Verdana"/>
          <w:b/>
          <w:bCs/>
        </w:rPr>
      </w:pPr>
      <w:r w:rsidRPr="00282BB0">
        <w:rPr>
          <w:rFonts w:ascii="Verdana" w:hAnsi="Verdana"/>
          <w:b/>
          <w:bCs/>
        </w:rPr>
        <w:t xml:space="preserve">JORGE HUMBERTO </w:t>
      </w:r>
      <w:r w:rsidR="004B49C7" w:rsidRPr="00282BB0">
        <w:rPr>
          <w:rFonts w:ascii="Verdana" w:hAnsi="Verdana"/>
          <w:b/>
          <w:bCs/>
        </w:rPr>
        <w:t>MANTILLA SERRANO</w:t>
      </w:r>
    </w:p>
    <w:p w14:paraId="33D25ABA" w14:textId="77777777" w:rsidR="001C0C16" w:rsidRPr="004B49C7" w:rsidRDefault="001C0C16" w:rsidP="004B49C7">
      <w:pPr>
        <w:pStyle w:val="Sinespaciado"/>
        <w:jc w:val="both"/>
        <w:rPr>
          <w:rFonts w:ascii="Verdana" w:hAnsi="Verdana"/>
        </w:rPr>
      </w:pPr>
    </w:p>
    <w:p w14:paraId="69025283" w14:textId="77777777" w:rsidR="00282BB0" w:rsidRDefault="00282BB0" w:rsidP="004B49C7">
      <w:pPr>
        <w:pStyle w:val="Sinespaciado"/>
        <w:jc w:val="both"/>
        <w:rPr>
          <w:rStyle w:val="Cuerpodeltexto161"/>
          <w:rFonts w:ascii="Verdana" w:hAnsi="Verdana"/>
          <w:b/>
          <w:bCs/>
        </w:rPr>
      </w:pPr>
    </w:p>
    <w:p w14:paraId="39E46DD0" w14:textId="49B612F6" w:rsidR="001C0C16" w:rsidRPr="00282BB0" w:rsidRDefault="00282BB0" w:rsidP="004B49C7">
      <w:pPr>
        <w:pStyle w:val="Sinespaciado"/>
        <w:jc w:val="both"/>
        <w:rPr>
          <w:rFonts w:ascii="Verdana" w:hAnsi="Verdana"/>
          <w:b/>
          <w:bCs/>
        </w:rPr>
      </w:pPr>
      <w:r w:rsidRPr="00282BB0">
        <w:rPr>
          <w:rStyle w:val="Cuerpodeltexto161"/>
          <w:rFonts w:ascii="Verdana" w:hAnsi="Verdana"/>
          <w:b/>
          <w:bCs/>
        </w:rPr>
        <w:t>R</w:t>
      </w:r>
      <w:r w:rsidR="003406F6" w:rsidRPr="00282BB0">
        <w:rPr>
          <w:rStyle w:val="Cuerpodeltexto161"/>
          <w:rFonts w:ascii="Verdana" w:hAnsi="Verdana"/>
          <w:b/>
          <w:bCs/>
        </w:rPr>
        <w:t>EPUBLICA DE COLOMBIA - GOBIERNO NACIONAL</w:t>
      </w:r>
    </w:p>
    <w:p w14:paraId="2B4A9F2D" w14:textId="77777777" w:rsidR="00282BB0" w:rsidRDefault="00282BB0" w:rsidP="004B49C7">
      <w:pPr>
        <w:pStyle w:val="Sinespaciado"/>
        <w:jc w:val="both"/>
        <w:rPr>
          <w:rStyle w:val="Cuerpodeltexto161"/>
          <w:rFonts w:ascii="Verdana" w:hAnsi="Verdana"/>
          <w:b/>
          <w:bCs/>
        </w:rPr>
      </w:pPr>
    </w:p>
    <w:p w14:paraId="0B55A00E" w14:textId="3BA236EB" w:rsidR="001C0C16" w:rsidRDefault="003406F6" w:rsidP="004B49C7">
      <w:pPr>
        <w:pStyle w:val="Sinespaciado"/>
        <w:jc w:val="both"/>
        <w:rPr>
          <w:rStyle w:val="Cuerpodeltexto161"/>
          <w:rFonts w:ascii="Verdana" w:hAnsi="Verdana"/>
          <w:b/>
          <w:bCs/>
        </w:rPr>
      </w:pPr>
      <w:r w:rsidRPr="00282BB0">
        <w:rPr>
          <w:rStyle w:val="Cuerpodeltexto161"/>
          <w:rFonts w:ascii="Verdana" w:hAnsi="Verdana"/>
          <w:b/>
          <w:bCs/>
        </w:rPr>
        <w:t>PUBLÍQUESE Y CÚMPLASE</w:t>
      </w:r>
    </w:p>
    <w:p w14:paraId="23D26D3B" w14:textId="5AB54879" w:rsidR="00282BB0" w:rsidRDefault="00282BB0" w:rsidP="004B49C7">
      <w:pPr>
        <w:pStyle w:val="Sinespaciado"/>
        <w:jc w:val="both"/>
        <w:rPr>
          <w:rStyle w:val="Cuerpodeltexto161"/>
          <w:rFonts w:ascii="Verdana" w:hAnsi="Verdana"/>
          <w:b/>
          <w:bCs/>
        </w:rPr>
      </w:pPr>
    </w:p>
    <w:p w14:paraId="7D17931A" w14:textId="77777777" w:rsidR="00282BB0" w:rsidRDefault="00282BB0" w:rsidP="00282BB0">
      <w:pPr>
        <w:pStyle w:val="Sinespaciado"/>
        <w:jc w:val="both"/>
        <w:rPr>
          <w:rStyle w:val="Cuerpodeltexto161"/>
          <w:rFonts w:ascii="Verdana" w:hAnsi="Verdana"/>
          <w:b/>
          <w:bCs/>
        </w:rPr>
      </w:pPr>
      <w:r w:rsidRPr="00282BB0">
        <w:rPr>
          <w:rStyle w:val="Cuerpodeltexto161"/>
          <w:rFonts w:ascii="Verdana" w:hAnsi="Verdana"/>
        </w:rPr>
        <w:t>Dada en Bogotá, D.C., a los</w:t>
      </w:r>
      <w:r>
        <w:rPr>
          <w:rStyle w:val="Cuerpodeltexto161"/>
          <w:rFonts w:ascii="Verdana" w:hAnsi="Verdana"/>
          <w:b/>
          <w:bCs/>
        </w:rPr>
        <w:t xml:space="preserve"> 9 DIC 2020</w:t>
      </w:r>
    </w:p>
    <w:p w14:paraId="77AA3434" w14:textId="0C735A83" w:rsidR="00282BB0" w:rsidRPr="00282BB0" w:rsidRDefault="00282BB0" w:rsidP="004B49C7">
      <w:pPr>
        <w:pStyle w:val="Sinespaciado"/>
        <w:jc w:val="both"/>
        <w:rPr>
          <w:rFonts w:ascii="Verdana" w:hAnsi="Verdana"/>
          <w:b/>
          <w:bCs/>
        </w:rPr>
      </w:pPr>
    </w:p>
    <w:p w14:paraId="70484F7C" w14:textId="77777777" w:rsidR="00282BB0" w:rsidRDefault="00282BB0" w:rsidP="004B49C7">
      <w:pPr>
        <w:pStyle w:val="Sinespaciado"/>
        <w:jc w:val="both"/>
        <w:rPr>
          <w:rStyle w:val="Cuerpodeltexto161"/>
          <w:rFonts w:ascii="Verdana" w:hAnsi="Verdana"/>
        </w:rPr>
      </w:pPr>
    </w:p>
    <w:p w14:paraId="6EE9E43E" w14:textId="211E2C61" w:rsidR="001C0C16" w:rsidRDefault="003406F6" w:rsidP="004B49C7">
      <w:pPr>
        <w:pStyle w:val="Sinespaciado"/>
        <w:jc w:val="both"/>
        <w:rPr>
          <w:rStyle w:val="Cuerpodeltexto161"/>
          <w:rFonts w:ascii="Verdana" w:hAnsi="Verdana"/>
        </w:rPr>
      </w:pPr>
      <w:r w:rsidRPr="004B49C7">
        <w:rPr>
          <w:rStyle w:val="Cuerpodeltexto161"/>
          <w:rFonts w:ascii="Verdana" w:hAnsi="Verdana"/>
        </w:rPr>
        <w:t>LA MINISTRA DEL INTERIOR,</w:t>
      </w:r>
    </w:p>
    <w:p w14:paraId="1D99411C" w14:textId="226E7724" w:rsidR="00282BB0" w:rsidRPr="00282BB0" w:rsidRDefault="00282BB0" w:rsidP="004B49C7">
      <w:pPr>
        <w:pStyle w:val="Sinespaciado"/>
        <w:jc w:val="both"/>
        <w:rPr>
          <w:rFonts w:ascii="Verdana" w:hAnsi="Verdana"/>
          <w:b/>
          <w:bCs/>
        </w:rPr>
      </w:pPr>
      <w:r w:rsidRPr="00282BB0">
        <w:rPr>
          <w:rStyle w:val="Cuerpodeltexto161"/>
          <w:rFonts w:ascii="Verdana" w:hAnsi="Verdana"/>
          <w:b/>
          <w:bCs/>
        </w:rPr>
        <w:t>ALICIA VICTORIA ARANGO OLMOS</w:t>
      </w:r>
    </w:p>
    <w:p w14:paraId="02C97E82" w14:textId="77777777" w:rsidR="00282BB0" w:rsidRDefault="00282BB0" w:rsidP="004B49C7">
      <w:pPr>
        <w:pStyle w:val="Sinespaciado"/>
        <w:jc w:val="both"/>
        <w:rPr>
          <w:rStyle w:val="Cuerpodeltexto161"/>
          <w:rFonts w:ascii="Verdana" w:hAnsi="Verdana"/>
        </w:rPr>
      </w:pPr>
    </w:p>
    <w:p w14:paraId="1DE61058" w14:textId="02DD671D" w:rsidR="001C0C16" w:rsidRPr="004B49C7" w:rsidRDefault="003406F6" w:rsidP="004B49C7">
      <w:pPr>
        <w:pStyle w:val="Sinespaciado"/>
        <w:jc w:val="both"/>
        <w:rPr>
          <w:rFonts w:ascii="Verdana" w:hAnsi="Verdana"/>
        </w:rPr>
      </w:pPr>
      <w:r w:rsidRPr="004B49C7">
        <w:rPr>
          <w:rStyle w:val="Cuerpodeltexto161"/>
          <w:rFonts w:ascii="Verdana" w:hAnsi="Verdana"/>
        </w:rPr>
        <w:t>EL VICEMINISTRO DE RELACIONES EXTERIORES, ENCARGADO DE LAS FUNCIONES DEL DESPACHO DE LA MINISTRA DE RELACIONES EXTERIORES,</w:t>
      </w:r>
    </w:p>
    <w:p w14:paraId="4A7181E2" w14:textId="77777777" w:rsidR="00282BB0" w:rsidRDefault="00282BB0" w:rsidP="004B49C7">
      <w:pPr>
        <w:pStyle w:val="Sinespaciado"/>
        <w:jc w:val="both"/>
        <w:rPr>
          <w:rStyle w:val="Cuerpodeltexto161"/>
          <w:rFonts w:ascii="Verdana" w:hAnsi="Verdana"/>
        </w:rPr>
      </w:pPr>
      <w:r w:rsidRPr="00282BB0">
        <w:rPr>
          <w:rStyle w:val="Cuerpodeltexto161"/>
          <w:rFonts w:ascii="Verdana" w:hAnsi="Verdana"/>
          <w:b/>
          <w:bCs/>
        </w:rPr>
        <w:t>FRANCISCO JAVIER ECHEVERRI LARA</w:t>
      </w:r>
    </w:p>
    <w:p w14:paraId="67196575" w14:textId="77777777" w:rsidR="00282BB0" w:rsidRDefault="00282BB0" w:rsidP="004B49C7">
      <w:pPr>
        <w:pStyle w:val="Sinespaciado"/>
        <w:jc w:val="both"/>
        <w:rPr>
          <w:rStyle w:val="Cuerpodeltexto161"/>
          <w:rFonts w:ascii="Verdana" w:hAnsi="Verdana"/>
        </w:rPr>
      </w:pPr>
    </w:p>
    <w:p w14:paraId="1E0DB026" w14:textId="208C3AA6" w:rsidR="001C0C16" w:rsidRPr="004B49C7" w:rsidRDefault="003406F6" w:rsidP="004B49C7">
      <w:pPr>
        <w:pStyle w:val="Sinespaciado"/>
        <w:jc w:val="both"/>
        <w:rPr>
          <w:rFonts w:ascii="Verdana" w:hAnsi="Verdana"/>
        </w:rPr>
      </w:pPr>
      <w:r w:rsidRPr="004B49C7">
        <w:rPr>
          <w:rStyle w:val="Cuerpodeltexto161"/>
          <w:rFonts w:ascii="Verdana" w:hAnsi="Verdana"/>
        </w:rPr>
        <w:t>EL MINISTRO DE HACIENDA Y CRÉDITO PÚBL</w:t>
      </w:r>
      <w:r w:rsidR="00282BB0">
        <w:rPr>
          <w:rStyle w:val="Cuerpodeltexto161"/>
          <w:rFonts w:ascii="Verdana" w:hAnsi="Verdana"/>
        </w:rPr>
        <w:t>ICO,</w:t>
      </w:r>
    </w:p>
    <w:p w14:paraId="6405DDB8" w14:textId="77777777" w:rsidR="00AC079B" w:rsidRDefault="003406F6" w:rsidP="004B49C7">
      <w:pPr>
        <w:pStyle w:val="Sinespaciado"/>
        <w:jc w:val="both"/>
        <w:rPr>
          <w:rStyle w:val="Ttulo31"/>
          <w:rFonts w:ascii="Verdana" w:hAnsi="Verdana"/>
          <w:b/>
          <w:bCs/>
          <w:sz w:val="24"/>
          <w:szCs w:val="24"/>
        </w:rPr>
      </w:pPr>
      <w:bookmarkStart w:id="0" w:name="bookmark0"/>
      <w:r w:rsidRPr="00AC079B">
        <w:rPr>
          <w:rStyle w:val="Ttulo31"/>
          <w:rFonts w:ascii="Verdana" w:hAnsi="Verdana"/>
          <w:b/>
          <w:bCs/>
          <w:sz w:val="24"/>
          <w:szCs w:val="24"/>
        </w:rPr>
        <w:t>A</w:t>
      </w:r>
      <w:r w:rsidR="00282BB0" w:rsidRPr="00AC079B">
        <w:rPr>
          <w:rStyle w:val="Ttulo31"/>
          <w:rFonts w:ascii="Verdana" w:hAnsi="Verdana"/>
          <w:b/>
          <w:bCs/>
          <w:sz w:val="24"/>
          <w:szCs w:val="24"/>
        </w:rPr>
        <w:t>L</w:t>
      </w:r>
      <w:r w:rsidRPr="00AC079B">
        <w:rPr>
          <w:rStyle w:val="Ttulo31"/>
          <w:rFonts w:ascii="Verdana" w:hAnsi="Verdana"/>
          <w:b/>
          <w:bCs/>
          <w:sz w:val="24"/>
          <w:szCs w:val="24"/>
        </w:rPr>
        <w:t>BER</w:t>
      </w:r>
      <w:r w:rsidR="00AC079B" w:rsidRPr="00AC079B">
        <w:rPr>
          <w:rStyle w:val="Ttulo31"/>
          <w:rFonts w:ascii="Verdana" w:hAnsi="Verdana"/>
          <w:b/>
          <w:bCs/>
          <w:sz w:val="24"/>
          <w:szCs w:val="24"/>
        </w:rPr>
        <w:t>TO CARRASQUILLA BARRERA</w:t>
      </w:r>
      <w:bookmarkEnd w:id="0"/>
    </w:p>
    <w:p w14:paraId="3E30AC3B" w14:textId="77777777" w:rsidR="00AC079B" w:rsidRDefault="00AC079B" w:rsidP="004B49C7">
      <w:pPr>
        <w:pStyle w:val="Sinespaciado"/>
        <w:jc w:val="both"/>
        <w:rPr>
          <w:rStyle w:val="Ttulo31"/>
          <w:rFonts w:ascii="Verdana" w:hAnsi="Verdana"/>
          <w:b/>
          <w:bCs/>
          <w:sz w:val="24"/>
          <w:szCs w:val="24"/>
        </w:rPr>
      </w:pPr>
    </w:p>
    <w:p w14:paraId="4A6C2C45" w14:textId="77777777" w:rsidR="001C0C16" w:rsidRDefault="003406F6" w:rsidP="004B49C7">
      <w:pPr>
        <w:pStyle w:val="Sinespaciado"/>
        <w:jc w:val="both"/>
        <w:rPr>
          <w:rStyle w:val="Cuerpodeltexto16Versales"/>
          <w:rFonts w:ascii="Verdana" w:hAnsi="Verdana"/>
        </w:rPr>
      </w:pPr>
      <w:r w:rsidRPr="004B49C7">
        <w:rPr>
          <w:rStyle w:val="Cuerpodeltexto16Versales"/>
          <w:rFonts w:ascii="Verdana" w:hAnsi="Verdana"/>
        </w:rPr>
        <w:t>EL MINISTRO DE JUSTICIA Y DE</w:t>
      </w:r>
      <w:r w:rsidR="00AC079B">
        <w:rPr>
          <w:rStyle w:val="Cuerpodeltexto16Versales"/>
          <w:rFonts w:ascii="Verdana" w:hAnsi="Verdana"/>
        </w:rPr>
        <w:t>L DERECHO,</w:t>
      </w:r>
    </w:p>
    <w:p w14:paraId="33FB897E" w14:textId="77777777" w:rsidR="00AC079B" w:rsidRDefault="00AC079B" w:rsidP="004B49C7">
      <w:pPr>
        <w:pStyle w:val="Sinespaciado"/>
        <w:jc w:val="both"/>
        <w:rPr>
          <w:rStyle w:val="Cuerpodeltexto16Versales"/>
          <w:rFonts w:ascii="Verdana" w:hAnsi="Verdana"/>
          <w:b/>
          <w:bCs/>
        </w:rPr>
      </w:pPr>
      <w:r w:rsidRPr="00AC079B">
        <w:rPr>
          <w:rStyle w:val="Cuerpodeltexto16Versales"/>
          <w:rFonts w:ascii="Verdana" w:hAnsi="Verdana"/>
          <w:b/>
          <w:bCs/>
        </w:rPr>
        <w:t>WILSON RUÍZ OREJUELA</w:t>
      </w:r>
    </w:p>
    <w:p w14:paraId="65D1C70F" w14:textId="77777777" w:rsidR="00AC079B" w:rsidRDefault="00AC079B" w:rsidP="004B49C7">
      <w:pPr>
        <w:pStyle w:val="Sinespaciado"/>
        <w:jc w:val="both"/>
        <w:rPr>
          <w:rStyle w:val="Cuerpodeltexto16Versales"/>
          <w:rFonts w:ascii="Verdana" w:hAnsi="Verdana"/>
          <w:b/>
          <w:bCs/>
        </w:rPr>
      </w:pPr>
    </w:p>
    <w:p w14:paraId="7D28A028" w14:textId="30D1A6FA" w:rsidR="00AC079B" w:rsidRPr="00AC079B" w:rsidRDefault="00AC079B" w:rsidP="004B49C7">
      <w:pPr>
        <w:pStyle w:val="Sinespaciado"/>
        <w:jc w:val="both"/>
        <w:rPr>
          <w:rStyle w:val="Cuerpodeltexto16Versales"/>
          <w:rFonts w:ascii="Verdana" w:hAnsi="Verdana"/>
        </w:rPr>
      </w:pPr>
      <w:r w:rsidRPr="00AC079B">
        <w:rPr>
          <w:rStyle w:val="Cuerpodeltexto16Versales"/>
          <w:rFonts w:ascii="Verdana" w:hAnsi="Verdana"/>
        </w:rPr>
        <w:t>EL MINISTRO DE DEFENSA NACIONAL,</w:t>
      </w:r>
    </w:p>
    <w:p w14:paraId="4E7B03E8" w14:textId="7D93AA69" w:rsidR="001C0C16" w:rsidRPr="004B49C7" w:rsidRDefault="00AC079B" w:rsidP="004B49C7">
      <w:pPr>
        <w:pStyle w:val="Sinespaciado"/>
        <w:jc w:val="both"/>
        <w:rPr>
          <w:rFonts w:ascii="Verdana" w:hAnsi="Verdana"/>
        </w:rPr>
      </w:pPr>
      <w:r>
        <w:rPr>
          <w:rStyle w:val="Cuerpodeltexto12FranklinGothicBook11pto"/>
          <w:rFonts w:ascii="Verdana" w:hAnsi="Verdana"/>
          <w:sz w:val="24"/>
          <w:szCs w:val="24"/>
        </w:rPr>
        <w:t>CARLO H</w:t>
      </w:r>
      <w:r w:rsidR="003406F6" w:rsidRPr="004B49C7">
        <w:rPr>
          <w:rStyle w:val="Cuerpodeltexto12FranklinGothicBook11pto"/>
          <w:rFonts w:ascii="Verdana" w:hAnsi="Verdana"/>
          <w:sz w:val="24"/>
          <w:szCs w:val="24"/>
        </w:rPr>
        <w:t>OLMES TRUJILLO GA</w:t>
      </w:r>
      <w:r>
        <w:rPr>
          <w:rStyle w:val="Cuerpodeltexto12FranklinGothicBook11pto"/>
          <w:rFonts w:ascii="Verdana" w:hAnsi="Verdana"/>
          <w:sz w:val="24"/>
          <w:szCs w:val="24"/>
        </w:rPr>
        <w:t>RCÍA</w:t>
      </w:r>
    </w:p>
    <w:p w14:paraId="2B15F764" w14:textId="77777777" w:rsidR="00AC079B" w:rsidRDefault="00AC079B" w:rsidP="004B49C7">
      <w:pPr>
        <w:pStyle w:val="Sinespaciado"/>
        <w:jc w:val="both"/>
        <w:rPr>
          <w:rFonts w:ascii="Verdana" w:hAnsi="Verdana"/>
        </w:rPr>
      </w:pPr>
    </w:p>
    <w:p w14:paraId="6051A888" w14:textId="24FD78F4" w:rsidR="001C0C16" w:rsidRPr="004B49C7" w:rsidRDefault="003406F6" w:rsidP="004B49C7">
      <w:pPr>
        <w:pStyle w:val="Sinespaciado"/>
        <w:jc w:val="both"/>
        <w:rPr>
          <w:rFonts w:ascii="Verdana" w:hAnsi="Verdana"/>
        </w:rPr>
      </w:pPr>
      <w:r w:rsidRPr="004B49C7">
        <w:rPr>
          <w:rFonts w:ascii="Verdana" w:hAnsi="Verdana"/>
        </w:rPr>
        <w:t>EL MINISTRO DE AGRICULTURA Y DESARROLLO RURAL,</w:t>
      </w:r>
    </w:p>
    <w:p w14:paraId="37BB4DA9" w14:textId="682F4F81" w:rsidR="001C0C16" w:rsidRPr="004B49C7" w:rsidRDefault="003406F6" w:rsidP="004B49C7">
      <w:pPr>
        <w:pStyle w:val="Sinespaciado"/>
        <w:jc w:val="both"/>
        <w:rPr>
          <w:rFonts w:ascii="Verdana" w:hAnsi="Verdana"/>
        </w:rPr>
      </w:pPr>
      <w:r w:rsidRPr="004B49C7">
        <w:rPr>
          <w:rStyle w:val="Cuerpodeltexto12FranklinGothicBook11pto"/>
          <w:rFonts w:ascii="Verdana" w:hAnsi="Verdana"/>
          <w:sz w:val="24"/>
          <w:szCs w:val="24"/>
        </w:rPr>
        <w:t>RODOLFO ZEA NAVARRO</w:t>
      </w:r>
    </w:p>
    <w:p w14:paraId="68E51F65" w14:textId="77777777" w:rsidR="00AC079B" w:rsidRDefault="00AC079B" w:rsidP="004B49C7">
      <w:pPr>
        <w:pStyle w:val="Sinespaciado"/>
        <w:jc w:val="both"/>
        <w:rPr>
          <w:rStyle w:val="Cuerpodeltexto16Versales0"/>
          <w:rFonts w:ascii="Verdana" w:hAnsi="Verdana"/>
        </w:rPr>
      </w:pPr>
    </w:p>
    <w:p w14:paraId="279F2796" w14:textId="346B4C44" w:rsidR="001C0C16" w:rsidRPr="004B49C7" w:rsidRDefault="003406F6" w:rsidP="004B49C7">
      <w:pPr>
        <w:pStyle w:val="Sinespaciado"/>
        <w:jc w:val="both"/>
        <w:rPr>
          <w:rFonts w:ascii="Verdana" w:hAnsi="Verdana"/>
        </w:rPr>
      </w:pPr>
      <w:r w:rsidRPr="004B49C7">
        <w:rPr>
          <w:rStyle w:val="Cuerpodeltexto16Versales0"/>
          <w:rFonts w:ascii="Verdana" w:hAnsi="Verdana"/>
        </w:rPr>
        <w:t>EL MINISTRO DE SALUD Y PROTECCI</w:t>
      </w:r>
      <w:r w:rsidR="00AC079B">
        <w:rPr>
          <w:rStyle w:val="Cuerpodeltexto16Versales0"/>
          <w:rFonts w:ascii="Verdana" w:hAnsi="Verdana"/>
        </w:rPr>
        <w:t>ÓN SOCIAL,</w:t>
      </w:r>
    </w:p>
    <w:p w14:paraId="1FBE5B25" w14:textId="66E1FE58" w:rsidR="001C0C16" w:rsidRPr="004B49C7" w:rsidRDefault="003406F6" w:rsidP="004B49C7">
      <w:pPr>
        <w:pStyle w:val="Sinespaciado"/>
        <w:jc w:val="both"/>
        <w:rPr>
          <w:rFonts w:ascii="Verdana" w:hAnsi="Verdana"/>
        </w:rPr>
      </w:pPr>
      <w:r w:rsidRPr="004B49C7">
        <w:rPr>
          <w:rStyle w:val="Cuerpodeltexto12FranklinGothicBook11ptoVersales"/>
          <w:rFonts w:ascii="Verdana" w:hAnsi="Verdana"/>
          <w:sz w:val="24"/>
          <w:szCs w:val="24"/>
        </w:rPr>
        <w:t>FERNANDO R</w:t>
      </w:r>
      <w:r w:rsidR="00AC079B">
        <w:rPr>
          <w:rStyle w:val="Cuerpodeltexto12FranklinGothicBook11ptoVersales"/>
          <w:rFonts w:ascii="Verdana" w:hAnsi="Verdana"/>
          <w:sz w:val="24"/>
          <w:szCs w:val="24"/>
        </w:rPr>
        <w:t>UÍZ GÓMEZ</w:t>
      </w:r>
    </w:p>
    <w:p w14:paraId="73F5FDF8" w14:textId="77777777" w:rsidR="00AC079B" w:rsidRDefault="00AC079B" w:rsidP="004B49C7">
      <w:pPr>
        <w:pStyle w:val="Sinespaciado"/>
        <w:jc w:val="both"/>
        <w:rPr>
          <w:rFonts w:ascii="Verdana" w:hAnsi="Verdana"/>
        </w:rPr>
      </w:pPr>
    </w:p>
    <w:p w14:paraId="64BB5003" w14:textId="06E756B4" w:rsidR="001C0C16" w:rsidRPr="004B49C7" w:rsidRDefault="003406F6" w:rsidP="004B49C7">
      <w:pPr>
        <w:pStyle w:val="Sinespaciado"/>
        <w:jc w:val="both"/>
        <w:rPr>
          <w:rFonts w:ascii="Verdana" w:hAnsi="Verdana"/>
        </w:rPr>
      </w:pPr>
      <w:r w:rsidRPr="004B49C7">
        <w:rPr>
          <w:rFonts w:ascii="Verdana" w:hAnsi="Verdana"/>
        </w:rPr>
        <w:t>EL MINISTRO DEL TRABAJO,</w:t>
      </w:r>
    </w:p>
    <w:p w14:paraId="00F97E6D" w14:textId="77777777" w:rsidR="001C0C16" w:rsidRPr="004B49C7" w:rsidRDefault="003406F6" w:rsidP="004B49C7">
      <w:pPr>
        <w:pStyle w:val="Sinespaciado"/>
        <w:jc w:val="both"/>
        <w:rPr>
          <w:rFonts w:ascii="Verdana" w:hAnsi="Verdana"/>
        </w:rPr>
      </w:pPr>
      <w:r w:rsidRPr="004B49C7">
        <w:rPr>
          <w:rStyle w:val="Cuerpodeltexto12FranklinGothicBook11pto"/>
          <w:rFonts w:ascii="Verdana" w:hAnsi="Verdana"/>
          <w:sz w:val="24"/>
          <w:szCs w:val="24"/>
        </w:rPr>
        <w:t>ANGEL CUSTODIO CABRERA BAEZ</w:t>
      </w:r>
    </w:p>
    <w:p w14:paraId="5A15555F" w14:textId="77777777" w:rsidR="00AC079B" w:rsidRDefault="00AC079B" w:rsidP="004B49C7">
      <w:pPr>
        <w:pStyle w:val="Sinespaciado"/>
        <w:jc w:val="both"/>
        <w:rPr>
          <w:rFonts w:ascii="Verdana" w:hAnsi="Verdana"/>
        </w:rPr>
      </w:pPr>
    </w:p>
    <w:p w14:paraId="7E73CE52" w14:textId="728E61F2" w:rsidR="001C0C16" w:rsidRPr="004B49C7" w:rsidRDefault="003406F6" w:rsidP="004B49C7">
      <w:pPr>
        <w:pStyle w:val="Sinespaciado"/>
        <w:jc w:val="both"/>
        <w:rPr>
          <w:rFonts w:ascii="Verdana" w:hAnsi="Verdana"/>
        </w:rPr>
      </w:pPr>
      <w:r w:rsidRPr="004B49C7">
        <w:rPr>
          <w:rFonts w:ascii="Verdana" w:hAnsi="Verdana"/>
        </w:rPr>
        <w:t>EL MINISTRO DE MINAS Y ENERGÍA</w:t>
      </w:r>
      <w:r w:rsidR="00AC079B">
        <w:rPr>
          <w:rFonts w:ascii="Verdana" w:hAnsi="Verdana"/>
        </w:rPr>
        <w:t>,</w:t>
      </w:r>
    </w:p>
    <w:p w14:paraId="3BBF1EDF" w14:textId="0E182499" w:rsidR="001C0C16" w:rsidRPr="00AC079B" w:rsidRDefault="003406F6" w:rsidP="004B49C7">
      <w:pPr>
        <w:pStyle w:val="Sinespaciado"/>
        <w:jc w:val="both"/>
        <w:rPr>
          <w:rFonts w:ascii="Verdana" w:eastAsia="Franklin Gothic Book" w:hAnsi="Verdana" w:cs="Franklin Gothic Book"/>
          <w:b/>
          <w:bCs/>
        </w:rPr>
      </w:pPr>
      <w:r w:rsidRPr="004B49C7">
        <w:rPr>
          <w:rStyle w:val="Cuerpodeltexto12FranklinGothicBook11pto"/>
          <w:rFonts w:ascii="Verdana" w:hAnsi="Verdana"/>
          <w:sz w:val="24"/>
          <w:szCs w:val="24"/>
        </w:rPr>
        <w:t>DI</w:t>
      </w:r>
      <w:r w:rsidR="00AC079B">
        <w:rPr>
          <w:rStyle w:val="Cuerpodeltexto12FranklinGothicBook11pto"/>
          <w:rFonts w:ascii="Verdana" w:hAnsi="Verdana"/>
          <w:sz w:val="24"/>
          <w:szCs w:val="24"/>
        </w:rPr>
        <w:t xml:space="preserve">EGO </w:t>
      </w:r>
      <w:r w:rsidRPr="004B49C7">
        <w:rPr>
          <w:rStyle w:val="Cuerpodeltexto12FranklinGothicBook11pto"/>
          <w:rFonts w:ascii="Verdana" w:hAnsi="Verdana"/>
          <w:sz w:val="24"/>
          <w:szCs w:val="24"/>
        </w:rPr>
        <w:t>MESA PUYO</w:t>
      </w:r>
    </w:p>
    <w:p w14:paraId="2E10126D" w14:textId="5F8883F4" w:rsidR="001C0C16" w:rsidRPr="004B49C7" w:rsidRDefault="003406F6" w:rsidP="004B49C7">
      <w:pPr>
        <w:pStyle w:val="Sinespaciado"/>
        <w:jc w:val="both"/>
        <w:rPr>
          <w:rFonts w:ascii="Verdana" w:hAnsi="Verdana"/>
        </w:rPr>
      </w:pPr>
      <w:r w:rsidRPr="004B49C7">
        <w:rPr>
          <w:rFonts w:ascii="Verdana" w:hAnsi="Verdana"/>
        </w:rPr>
        <w:lastRenderedPageBreak/>
        <w:t>EL VICEMINISTRO DE TURISMO DEL MINISTERIO DE COMERCIO, INDUSTRIA Y TURISMO, ENCARGADO DE LAS FUNCIONES DEL DESPAC</w:t>
      </w:r>
      <w:r w:rsidR="00AC079B">
        <w:rPr>
          <w:rFonts w:ascii="Verdana" w:hAnsi="Verdana"/>
        </w:rPr>
        <w:t>H</w:t>
      </w:r>
      <w:r w:rsidRPr="004B49C7">
        <w:rPr>
          <w:rFonts w:ascii="Verdana" w:hAnsi="Verdana"/>
        </w:rPr>
        <w:t>O DEL MINISTRO DE COMERCIO, INDUSTRIA Y TURISMO,</w:t>
      </w:r>
    </w:p>
    <w:p w14:paraId="399FA907" w14:textId="37E390C8" w:rsidR="001C0C16" w:rsidRPr="004B49C7" w:rsidRDefault="003406F6" w:rsidP="004B49C7">
      <w:pPr>
        <w:pStyle w:val="Sinespaciado"/>
        <w:jc w:val="both"/>
        <w:rPr>
          <w:rFonts w:ascii="Verdana" w:hAnsi="Verdana"/>
        </w:rPr>
      </w:pPr>
      <w:r w:rsidRPr="004B49C7">
        <w:rPr>
          <w:rStyle w:val="Cuerpodeltexto12FranklinGothicBook11pto"/>
          <w:rFonts w:ascii="Verdana" w:hAnsi="Verdana"/>
          <w:sz w:val="24"/>
          <w:szCs w:val="24"/>
        </w:rPr>
        <w:t>JULIÁ</w:t>
      </w:r>
      <w:r w:rsidR="00AC079B">
        <w:rPr>
          <w:rStyle w:val="Cuerpodeltexto12FranklinGothicBook11pto"/>
          <w:rFonts w:ascii="Verdana" w:hAnsi="Verdana"/>
          <w:sz w:val="24"/>
          <w:szCs w:val="24"/>
        </w:rPr>
        <w:t xml:space="preserve">N GUERRERO </w:t>
      </w:r>
      <w:r w:rsidRPr="004B49C7">
        <w:rPr>
          <w:rStyle w:val="Cuerpodeltexto12FranklinGothicBook11pto"/>
          <w:rFonts w:ascii="Verdana" w:hAnsi="Verdana"/>
          <w:sz w:val="24"/>
          <w:szCs w:val="24"/>
        </w:rPr>
        <w:t>OROZCO</w:t>
      </w:r>
    </w:p>
    <w:p w14:paraId="259FED4A" w14:textId="77777777" w:rsidR="00AC079B" w:rsidRDefault="00AC079B" w:rsidP="004B49C7">
      <w:pPr>
        <w:pStyle w:val="Sinespaciado"/>
        <w:jc w:val="both"/>
        <w:rPr>
          <w:rFonts w:ascii="Verdana" w:hAnsi="Verdana"/>
        </w:rPr>
      </w:pPr>
    </w:p>
    <w:p w14:paraId="6B226822" w14:textId="7FC5B888" w:rsidR="00AC079B" w:rsidRDefault="00AC079B" w:rsidP="004B49C7">
      <w:pPr>
        <w:pStyle w:val="Sinespaciado"/>
        <w:jc w:val="both"/>
        <w:rPr>
          <w:rFonts w:ascii="Verdana" w:hAnsi="Verdana"/>
        </w:rPr>
      </w:pPr>
      <w:r>
        <w:rPr>
          <w:rFonts w:ascii="Verdana" w:hAnsi="Verdana"/>
        </w:rPr>
        <w:t>LA MINISTRA DE EDUCACIÓN NACIONAL,</w:t>
      </w:r>
    </w:p>
    <w:p w14:paraId="3B6FAC29" w14:textId="7B672285" w:rsidR="00AC079B" w:rsidRPr="00AC079B" w:rsidRDefault="00AC079B" w:rsidP="004B49C7">
      <w:pPr>
        <w:pStyle w:val="Sinespaciado"/>
        <w:jc w:val="both"/>
        <w:rPr>
          <w:rFonts w:ascii="Verdana" w:hAnsi="Verdana"/>
          <w:b/>
          <w:bCs/>
        </w:rPr>
      </w:pPr>
      <w:r w:rsidRPr="00AC079B">
        <w:rPr>
          <w:rFonts w:ascii="Verdana" w:hAnsi="Verdana"/>
          <w:b/>
          <w:bCs/>
        </w:rPr>
        <w:t>MARÍA VICTORIA</w:t>
      </w:r>
      <w:r>
        <w:rPr>
          <w:rFonts w:ascii="Verdana" w:hAnsi="Verdana"/>
          <w:b/>
          <w:bCs/>
        </w:rPr>
        <w:t xml:space="preserve"> </w:t>
      </w:r>
      <w:r w:rsidRPr="00AC079B">
        <w:rPr>
          <w:rFonts w:ascii="Verdana" w:hAnsi="Verdana"/>
          <w:b/>
          <w:bCs/>
        </w:rPr>
        <w:t>ANGULO GONZÁLEZ</w:t>
      </w:r>
    </w:p>
    <w:p w14:paraId="506797F0" w14:textId="77777777" w:rsidR="00AC079B" w:rsidRDefault="00AC079B" w:rsidP="004B49C7">
      <w:pPr>
        <w:pStyle w:val="Sinespaciado"/>
        <w:jc w:val="both"/>
        <w:rPr>
          <w:rFonts w:ascii="Verdana" w:hAnsi="Verdana"/>
        </w:rPr>
      </w:pPr>
    </w:p>
    <w:p w14:paraId="0432BE63" w14:textId="4FF89F92" w:rsidR="001C0C16" w:rsidRPr="004B49C7" w:rsidRDefault="003406F6" w:rsidP="004B49C7">
      <w:pPr>
        <w:pStyle w:val="Sinespaciado"/>
        <w:jc w:val="both"/>
        <w:rPr>
          <w:rFonts w:ascii="Verdana" w:hAnsi="Verdana"/>
        </w:rPr>
      </w:pPr>
      <w:r w:rsidRPr="004B49C7">
        <w:rPr>
          <w:rFonts w:ascii="Verdana" w:hAnsi="Verdana"/>
        </w:rPr>
        <w:t>EL MINISTRO DE AMBIENTE Y DESARROLL</w:t>
      </w:r>
      <w:r w:rsidR="00AC079B">
        <w:rPr>
          <w:rFonts w:ascii="Verdana" w:hAnsi="Verdana"/>
        </w:rPr>
        <w:t>O SOSTE</w:t>
      </w:r>
      <w:r w:rsidRPr="004B49C7">
        <w:rPr>
          <w:rFonts w:ascii="Verdana" w:hAnsi="Verdana"/>
        </w:rPr>
        <w:t>NIBLE,</w:t>
      </w:r>
    </w:p>
    <w:p w14:paraId="29BE8554" w14:textId="36791105" w:rsidR="001C0C16" w:rsidRPr="00AC079B" w:rsidRDefault="003406F6" w:rsidP="004B49C7">
      <w:pPr>
        <w:pStyle w:val="Sinespaciado"/>
        <w:jc w:val="both"/>
        <w:rPr>
          <w:rFonts w:ascii="Verdana" w:hAnsi="Verdana"/>
          <w:b/>
          <w:bCs/>
        </w:rPr>
      </w:pPr>
      <w:r w:rsidRPr="00AC079B">
        <w:rPr>
          <w:rFonts w:ascii="Verdana" w:hAnsi="Verdana"/>
          <w:b/>
          <w:bCs/>
        </w:rPr>
        <w:t>CARLOS ED</w:t>
      </w:r>
      <w:r w:rsidR="00AC079B" w:rsidRPr="00AC079B">
        <w:rPr>
          <w:rFonts w:ascii="Verdana" w:hAnsi="Verdana"/>
          <w:b/>
          <w:bCs/>
        </w:rPr>
        <w:t xml:space="preserve">UARDO </w:t>
      </w:r>
      <w:r w:rsidRPr="00AC079B">
        <w:rPr>
          <w:rFonts w:ascii="Verdana" w:hAnsi="Verdana"/>
          <w:b/>
          <w:bCs/>
        </w:rPr>
        <w:t>CORREA ESCAF</w:t>
      </w:r>
    </w:p>
    <w:p w14:paraId="480EFC39" w14:textId="77777777" w:rsidR="00AC079B" w:rsidRDefault="00AC079B" w:rsidP="004B49C7">
      <w:pPr>
        <w:pStyle w:val="Sinespaciado"/>
        <w:jc w:val="both"/>
        <w:rPr>
          <w:rFonts w:ascii="Verdana" w:hAnsi="Verdana"/>
        </w:rPr>
      </w:pPr>
    </w:p>
    <w:p w14:paraId="0D0DA52F" w14:textId="5D8EBDAA" w:rsidR="001C0C16" w:rsidRPr="004B49C7" w:rsidRDefault="003406F6" w:rsidP="004B49C7">
      <w:pPr>
        <w:pStyle w:val="Sinespaciado"/>
        <w:jc w:val="both"/>
        <w:rPr>
          <w:rFonts w:ascii="Verdana" w:hAnsi="Verdana"/>
        </w:rPr>
      </w:pPr>
      <w:r w:rsidRPr="004B49C7">
        <w:rPr>
          <w:rFonts w:ascii="Verdana" w:hAnsi="Verdana"/>
        </w:rPr>
        <w:t>EL MINISTRO DE VIVIENDA, CIUDAD Y TERRITORIO,</w:t>
      </w:r>
    </w:p>
    <w:p w14:paraId="5F86C25B" w14:textId="610C3ED9" w:rsidR="001C0C16" w:rsidRPr="004B49C7" w:rsidRDefault="003406F6" w:rsidP="004B49C7">
      <w:pPr>
        <w:pStyle w:val="Sinespaciado"/>
        <w:jc w:val="both"/>
        <w:rPr>
          <w:rFonts w:ascii="Verdana" w:hAnsi="Verdana"/>
        </w:rPr>
      </w:pPr>
      <w:r w:rsidRPr="004B49C7">
        <w:rPr>
          <w:rStyle w:val="Cuerpodeltexto17Versales"/>
          <w:rFonts w:ascii="Verdana" w:hAnsi="Verdana"/>
          <w:sz w:val="24"/>
          <w:szCs w:val="24"/>
        </w:rPr>
        <w:t>JONATHAN TYBALT MALAGÓ</w:t>
      </w:r>
      <w:r w:rsidR="00AC079B">
        <w:rPr>
          <w:rStyle w:val="Cuerpodeltexto17Versales"/>
          <w:rFonts w:ascii="Verdana" w:hAnsi="Verdana"/>
          <w:sz w:val="24"/>
          <w:szCs w:val="24"/>
        </w:rPr>
        <w:t>N G</w:t>
      </w:r>
      <w:r w:rsidRPr="004B49C7">
        <w:rPr>
          <w:rStyle w:val="Cuerpodeltexto17Versales"/>
          <w:rFonts w:ascii="Verdana" w:hAnsi="Verdana"/>
          <w:sz w:val="24"/>
          <w:szCs w:val="24"/>
        </w:rPr>
        <w:t>ONZÁLEZ</w:t>
      </w:r>
    </w:p>
    <w:p w14:paraId="35DB81F1" w14:textId="77777777" w:rsidR="00AC079B" w:rsidRDefault="00AC079B" w:rsidP="004B49C7">
      <w:pPr>
        <w:pStyle w:val="Sinespaciado"/>
        <w:jc w:val="both"/>
        <w:rPr>
          <w:rFonts w:ascii="Verdana" w:hAnsi="Verdana"/>
        </w:rPr>
      </w:pPr>
    </w:p>
    <w:p w14:paraId="4FDB056F" w14:textId="2DD3EA98" w:rsidR="001C0C16" w:rsidRPr="004B49C7" w:rsidRDefault="003406F6" w:rsidP="004B49C7">
      <w:pPr>
        <w:pStyle w:val="Sinespaciado"/>
        <w:jc w:val="both"/>
        <w:rPr>
          <w:rFonts w:ascii="Verdana" w:hAnsi="Verdana"/>
        </w:rPr>
      </w:pPr>
      <w:r w:rsidRPr="004B49C7">
        <w:rPr>
          <w:rFonts w:ascii="Verdana" w:hAnsi="Verdana"/>
        </w:rPr>
        <w:t>LA MINISTRA DE TECNOLOGÍAS DE LA INFORMACIÓN Y LAS COMUNICACIONES,</w:t>
      </w:r>
    </w:p>
    <w:p w14:paraId="75FE743F" w14:textId="77777777" w:rsidR="001C0C16" w:rsidRPr="00AC079B" w:rsidRDefault="003406F6" w:rsidP="004B49C7">
      <w:pPr>
        <w:pStyle w:val="Sinespaciado"/>
        <w:jc w:val="both"/>
        <w:rPr>
          <w:rFonts w:ascii="Verdana" w:hAnsi="Verdana"/>
          <w:b/>
          <w:bCs/>
        </w:rPr>
      </w:pPr>
      <w:r w:rsidRPr="00AC079B">
        <w:rPr>
          <w:rFonts w:ascii="Verdana" w:hAnsi="Verdana"/>
          <w:b/>
          <w:bCs/>
        </w:rPr>
        <w:t>KAREN CECILIA ABUDINEN ABUCHAIBE</w:t>
      </w:r>
    </w:p>
    <w:p w14:paraId="5447D2FA" w14:textId="77777777" w:rsidR="00AC079B" w:rsidRDefault="00AC079B" w:rsidP="004B49C7">
      <w:pPr>
        <w:pStyle w:val="Sinespaciado"/>
        <w:jc w:val="both"/>
        <w:rPr>
          <w:rFonts w:ascii="Verdana" w:hAnsi="Verdana"/>
        </w:rPr>
      </w:pPr>
    </w:p>
    <w:p w14:paraId="3DBE856E" w14:textId="4114C149" w:rsidR="001C0C16" w:rsidRPr="004B49C7" w:rsidRDefault="003406F6" w:rsidP="004B49C7">
      <w:pPr>
        <w:pStyle w:val="Sinespaciado"/>
        <w:jc w:val="both"/>
        <w:rPr>
          <w:rFonts w:ascii="Verdana" w:hAnsi="Verdana"/>
        </w:rPr>
      </w:pPr>
      <w:r w:rsidRPr="004B49C7">
        <w:rPr>
          <w:rFonts w:ascii="Verdana" w:hAnsi="Verdana"/>
        </w:rPr>
        <w:t>LA MINISTRA DE TRANSPORTE,</w:t>
      </w:r>
    </w:p>
    <w:p w14:paraId="5111A035" w14:textId="2813693F" w:rsidR="001C0C16" w:rsidRPr="00AC079B" w:rsidRDefault="003406F6" w:rsidP="004B49C7">
      <w:pPr>
        <w:pStyle w:val="Sinespaciado"/>
        <w:jc w:val="both"/>
        <w:rPr>
          <w:rFonts w:ascii="Verdana" w:hAnsi="Verdana"/>
          <w:b/>
          <w:bCs/>
        </w:rPr>
      </w:pPr>
      <w:r w:rsidRPr="00AC079B">
        <w:rPr>
          <w:rFonts w:ascii="Verdana" w:hAnsi="Verdana"/>
          <w:b/>
          <w:bCs/>
        </w:rPr>
        <w:t>ÁNGELA MARIA OROZCO G</w:t>
      </w:r>
      <w:r w:rsidR="00AC079B">
        <w:rPr>
          <w:rFonts w:ascii="Verdana" w:hAnsi="Verdana"/>
          <w:b/>
          <w:bCs/>
        </w:rPr>
        <w:t>Ó</w:t>
      </w:r>
      <w:r w:rsidRPr="00AC079B">
        <w:rPr>
          <w:rFonts w:ascii="Verdana" w:hAnsi="Verdana"/>
          <w:b/>
          <w:bCs/>
        </w:rPr>
        <w:t>MEZ</w:t>
      </w:r>
    </w:p>
    <w:p w14:paraId="61B59E9F" w14:textId="77777777" w:rsidR="00AC079B" w:rsidRDefault="00AC079B" w:rsidP="004B49C7">
      <w:pPr>
        <w:pStyle w:val="Sinespaciado"/>
        <w:jc w:val="both"/>
        <w:rPr>
          <w:rFonts w:ascii="Verdana" w:hAnsi="Verdana"/>
        </w:rPr>
      </w:pPr>
    </w:p>
    <w:p w14:paraId="2C3BE387" w14:textId="0BB96072" w:rsidR="001C0C16" w:rsidRPr="004B49C7" w:rsidRDefault="003406F6" w:rsidP="004B49C7">
      <w:pPr>
        <w:pStyle w:val="Sinespaciado"/>
        <w:jc w:val="both"/>
        <w:rPr>
          <w:rFonts w:ascii="Verdana" w:hAnsi="Verdana"/>
        </w:rPr>
      </w:pPr>
      <w:r w:rsidRPr="004B49C7">
        <w:rPr>
          <w:rFonts w:ascii="Verdana" w:hAnsi="Verdana"/>
        </w:rPr>
        <w:t>LA MINISTRA DE CULTURA,</w:t>
      </w:r>
    </w:p>
    <w:p w14:paraId="10947675" w14:textId="4AC0BC46" w:rsidR="001C0C16" w:rsidRPr="00AC079B" w:rsidRDefault="003406F6" w:rsidP="004B49C7">
      <w:pPr>
        <w:pStyle w:val="Sinespaciado"/>
        <w:jc w:val="both"/>
        <w:rPr>
          <w:rFonts w:ascii="Verdana" w:hAnsi="Verdana"/>
          <w:b/>
          <w:bCs/>
        </w:rPr>
      </w:pPr>
      <w:r w:rsidRPr="00AC079B">
        <w:rPr>
          <w:rFonts w:ascii="Verdana" w:hAnsi="Verdana"/>
          <w:b/>
          <w:bCs/>
        </w:rPr>
        <w:t>CARMEN INES VASQUE</w:t>
      </w:r>
      <w:r w:rsidR="00AC079B">
        <w:rPr>
          <w:rFonts w:ascii="Verdana" w:hAnsi="Verdana"/>
          <w:b/>
          <w:bCs/>
        </w:rPr>
        <w:t xml:space="preserve">Z </w:t>
      </w:r>
      <w:r w:rsidRPr="00AC079B">
        <w:rPr>
          <w:rFonts w:ascii="Verdana" w:hAnsi="Verdana"/>
          <w:b/>
          <w:bCs/>
        </w:rPr>
        <w:t>CAMACHO</w:t>
      </w:r>
    </w:p>
    <w:p w14:paraId="2ACEF1E7" w14:textId="77777777" w:rsidR="00AC079B" w:rsidRDefault="00AC079B" w:rsidP="004B49C7">
      <w:pPr>
        <w:pStyle w:val="Sinespaciado"/>
        <w:jc w:val="both"/>
        <w:rPr>
          <w:rFonts w:ascii="Verdana" w:hAnsi="Verdana"/>
        </w:rPr>
      </w:pPr>
    </w:p>
    <w:p w14:paraId="3791D9A5" w14:textId="2869CB97" w:rsidR="00AC079B" w:rsidRDefault="00AC079B" w:rsidP="004B49C7">
      <w:pPr>
        <w:pStyle w:val="Sinespaciado"/>
        <w:jc w:val="both"/>
        <w:rPr>
          <w:rFonts w:ascii="Verdana" w:hAnsi="Verdana"/>
        </w:rPr>
      </w:pPr>
      <w:r w:rsidRPr="00AC079B">
        <w:rPr>
          <w:rFonts w:ascii="Verdana" w:hAnsi="Verdana"/>
        </w:rPr>
        <w:t>LA MINISTRA DE CIENCIA, TECNOLOGÍA E INNOVACIÓN,</w:t>
      </w:r>
    </w:p>
    <w:p w14:paraId="1AAFEE98" w14:textId="6022F159" w:rsidR="001C0C16" w:rsidRPr="00AC079B" w:rsidRDefault="003406F6" w:rsidP="004B49C7">
      <w:pPr>
        <w:pStyle w:val="Sinespaciado"/>
        <w:jc w:val="both"/>
        <w:rPr>
          <w:rFonts w:ascii="Verdana" w:hAnsi="Verdana"/>
          <w:b/>
          <w:bCs/>
        </w:rPr>
      </w:pPr>
      <w:r w:rsidRPr="00AC079B">
        <w:rPr>
          <w:rFonts w:ascii="Verdana" w:hAnsi="Verdana"/>
          <w:b/>
          <w:bCs/>
        </w:rPr>
        <w:t>MABEL GISELA TORRES TORRES</w:t>
      </w:r>
    </w:p>
    <w:p w14:paraId="051C1E97" w14:textId="77777777" w:rsidR="00AC079B" w:rsidRDefault="00AC079B" w:rsidP="004B49C7">
      <w:pPr>
        <w:pStyle w:val="Sinespaciado"/>
        <w:jc w:val="both"/>
        <w:rPr>
          <w:rFonts w:ascii="Verdana" w:hAnsi="Verdana"/>
        </w:rPr>
      </w:pPr>
    </w:p>
    <w:p w14:paraId="43EC911C" w14:textId="77777777" w:rsidR="00AC079B" w:rsidRDefault="003406F6" w:rsidP="004B49C7">
      <w:pPr>
        <w:pStyle w:val="Sinespaciado"/>
        <w:jc w:val="both"/>
        <w:rPr>
          <w:rFonts w:ascii="Verdana" w:hAnsi="Verdana"/>
        </w:rPr>
      </w:pPr>
      <w:r w:rsidRPr="004B49C7">
        <w:rPr>
          <w:rFonts w:ascii="Verdana" w:hAnsi="Verdana"/>
        </w:rPr>
        <w:fldChar w:fldCharType="begin"/>
      </w:r>
      <w:r w:rsidRPr="004B49C7">
        <w:rPr>
          <w:rFonts w:ascii="Verdana" w:hAnsi="Verdana"/>
        </w:rPr>
        <w:instrText xml:space="preserve"> TOC \o "1-5" \h \z </w:instrText>
      </w:r>
      <w:r w:rsidRPr="004B49C7">
        <w:rPr>
          <w:rFonts w:ascii="Verdana" w:hAnsi="Verdana"/>
        </w:rPr>
        <w:fldChar w:fldCharType="separate"/>
      </w:r>
      <w:r w:rsidRPr="004B49C7">
        <w:rPr>
          <w:rFonts w:ascii="Verdana" w:hAnsi="Verdana"/>
        </w:rPr>
        <w:t>EL MINISTRO DEL DEPORTE</w:t>
      </w:r>
      <w:r w:rsidR="00AC079B">
        <w:rPr>
          <w:rFonts w:ascii="Verdana" w:hAnsi="Verdana"/>
        </w:rPr>
        <w:t>,</w:t>
      </w:r>
    </w:p>
    <w:p w14:paraId="2371D4AD" w14:textId="329FE897" w:rsidR="001C0C16" w:rsidRPr="00AC079B" w:rsidRDefault="003406F6" w:rsidP="004B49C7">
      <w:pPr>
        <w:pStyle w:val="Sinespaciado"/>
        <w:jc w:val="both"/>
        <w:rPr>
          <w:rFonts w:ascii="Verdana" w:hAnsi="Verdana"/>
          <w:b/>
          <w:bCs/>
        </w:rPr>
      </w:pPr>
      <w:r w:rsidRPr="00AC079B">
        <w:rPr>
          <w:rFonts w:ascii="Verdana" w:hAnsi="Verdana"/>
          <w:b/>
          <w:bCs/>
        </w:rPr>
        <w:t>ERNESTO LUC</w:t>
      </w:r>
      <w:r w:rsidR="00AC079B">
        <w:rPr>
          <w:rFonts w:ascii="Verdana" w:hAnsi="Verdana"/>
          <w:b/>
          <w:bCs/>
        </w:rPr>
        <w:t>EN</w:t>
      </w:r>
      <w:r w:rsidRPr="00AC079B">
        <w:rPr>
          <w:rFonts w:ascii="Verdana" w:hAnsi="Verdana"/>
          <w:b/>
          <w:bCs/>
        </w:rPr>
        <w:t>A BARRERO</w:t>
      </w:r>
    </w:p>
    <w:p w14:paraId="1D5B821C" w14:textId="77777777" w:rsidR="00AC079B" w:rsidRDefault="00AC079B" w:rsidP="004B49C7">
      <w:pPr>
        <w:pStyle w:val="Sinespaciado"/>
        <w:jc w:val="both"/>
        <w:rPr>
          <w:rFonts w:ascii="Verdana" w:hAnsi="Verdana"/>
        </w:rPr>
      </w:pPr>
    </w:p>
    <w:p w14:paraId="3CA938C0" w14:textId="77777777" w:rsidR="00AC079B" w:rsidRDefault="003406F6" w:rsidP="004B49C7">
      <w:pPr>
        <w:pStyle w:val="Sinespaciado"/>
        <w:jc w:val="both"/>
        <w:rPr>
          <w:rFonts w:ascii="Verdana" w:hAnsi="Verdana"/>
        </w:rPr>
      </w:pPr>
      <w:r w:rsidRPr="004B49C7">
        <w:rPr>
          <w:rFonts w:ascii="Verdana" w:hAnsi="Verdana"/>
        </w:rPr>
        <w:t>EL DIRECTOR DEL DEPARTAMENTO AMINISTRATIV</w:t>
      </w:r>
      <w:r w:rsidR="00AC079B">
        <w:rPr>
          <w:rFonts w:ascii="Verdana" w:hAnsi="Verdana"/>
        </w:rPr>
        <w:t xml:space="preserve">O </w:t>
      </w:r>
      <w:r w:rsidRPr="004B49C7">
        <w:rPr>
          <w:rFonts w:ascii="Verdana" w:hAnsi="Verdana"/>
        </w:rPr>
        <w:t>DE LA PRESIDENCIA DE LA REPÚBLICA</w:t>
      </w:r>
      <w:r w:rsidR="00AC079B">
        <w:rPr>
          <w:rFonts w:ascii="Verdana" w:hAnsi="Verdana"/>
        </w:rPr>
        <w:t>,</w:t>
      </w:r>
    </w:p>
    <w:p w14:paraId="3F37A524" w14:textId="7D0D3EB8" w:rsidR="001C0C16" w:rsidRDefault="003406F6" w:rsidP="004B49C7">
      <w:pPr>
        <w:pStyle w:val="Sinespaciado"/>
        <w:jc w:val="both"/>
        <w:rPr>
          <w:rFonts w:ascii="Verdana" w:hAnsi="Verdana"/>
          <w:b/>
          <w:bCs/>
        </w:rPr>
      </w:pPr>
      <w:r w:rsidRPr="00AC079B">
        <w:rPr>
          <w:rFonts w:ascii="Verdana" w:hAnsi="Verdana"/>
          <w:b/>
          <w:bCs/>
        </w:rPr>
        <w:t>DIE</w:t>
      </w:r>
      <w:r w:rsidR="00AC079B" w:rsidRPr="00AC079B">
        <w:rPr>
          <w:rFonts w:ascii="Verdana" w:hAnsi="Verdana"/>
          <w:b/>
          <w:bCs/>
        </w:rPr>
        <w:t>GO ANDRÉS MOLANO APONTE</w:t>
      </w:r>
    </w:p>
    <w:p w14:paraId="002C1754" w14:textId="77777777" w:rsidR="00AC079B" w:rsidRPr="004B49C7" w:rsidRDefault="00AC079B" w:rsidP="004B49C7">
      <w:pPr>
        <w:pStyle w:val="Sinespaciado"/>
        <w:jc w:val="both"/>
        <w:rPr>
          <w:rFonts w:ascii="Verdana" w:hAnsi="Verdana"/>
        </w:rPr>
      </w:pPr>
    </w:p>
    <w:p w14:paraId="54C734F0" w14:textId="36879602" w:rsidR="001C0C16" w:rsidRDefault="003406F6" w:rsidP="004B49C7">
      <w:pPr>
        <w:pStyle w:val="Sinespaciado"/>
        <w:jc w:val="both"/>
        <w:rPr>
          <w:rFonts w:ascii="Verdana" w:hAnsi="Verdana"/>
        </w:rPr>
      </w:pPr>
      <w:r w:rsidRPr="004B49C7">
        <w:rPr>
          <w:rFonts w:ascii="Verdana" w:hAnsi="Verdana"/>
        </w:rPr>
        <w:t>EL DIRECTOR DEL DEPARTAMENTO NACIONAL DE PLANEACIÓN,</w:t>
      </w:r>
    </w:p>
    <w:p w14:paraId="0A928FD1" w14:textId="7C4FB136" w:rsidR="00AC079B" w:rsidRPr="00AC079B" w:rsidRDefault="00AC079B" w:rsidP="004B49C7">
      <w:pPr>
        <w:pStyle w:val="Sinespaciado"/>
        <w:jc w:val="both"/>
        <w:rPr>
          <w:rFonts w:ascii="Verdana" w:hAnsi="Verdana"/>
          <w:b/>
          <w:bCs/>
        </w:rPr>
      </w:pPr>
      <w:r w:rsidRPr="00AC079B">
        <w:rPr>
          <w:rFonts w:ascii="Verdana" w:hAnsi="Verdana"/>
          <w:b/>
          <w:bCs/>
        </w:rPr>
        <w:t>LUIS ALBERTO RODRÍGUEZ OSPINO</w:t>
      </w:r>
    </w:p>
    <w:p w14:paraId="0F682187" w14:textId="77777777" w:rsidR="00AC079B" w:rsidRDefault="00AC079B" w:rsidP="004B49C7">
      <w:pPr>
        <w:pStyle w:val="Sinespaciado"/>
        <w:jc w:val="both"/>
        <w:rPr>
          <w:rFonts w:ascii="Verdana" w:hAnsi="Verdana"/>
        </w:rPr>
      </w:pPr>
    </w:p>
    <w:p w14:paraId="41075C29" w14:textId="77777777" w:rsidR="00AC079B" w:rsidRDefault="003406F6" w:rsidP="004B49C7">
      <w:pPr>
        <w:pStyle w:val="Sinespaciado"/>
        <w:jc w:val="both"/>
        <w:rPr>
          <w:rFonts w:ascii="Verdana" w:hAnsi="Verdana"/>
        </w:rPr>
      </w:pPr>
      <w:r w:rsidRPr="004B49C7">
        <w:rPr>
          <w:rFonts w:ascii="Verdana" w:hAnsi="Verdana"/>
        </w:rPr>
        <w:t>EL DIRECTOR DEL DEPARTAMENTO ADMINISTRATIVO</w:t>
      </w:r>
      <w:r w:rsidR="00AC079B">
        <w:rPr>
          <w:rFonts w:ascii="Verdana" w:hAnsi="Verdana"/>
        </w:rPr>
        <w:t xml:space="preserve"> N</w:t>
      </w:r>
      <w:r w:rsidRPr="004B49C7">
        <w:rPr>
          <w:rFonts w:ascii="Verdana" w:hAnsi="Verdana"/>
        </w:rPr>
        <w:t>ACIONAL DE ESTADÍSTICA</w:t>
      </w:r>
      <w:r w:rsidR="00AC079B">
        <w:rPr>
          <w:rFonts w:ascii="Verdana" w:hAnsi="Verdana"/>
        </w:rPr>
        <w:t>,</w:t>
      </w:r>
      <w:r w:rsidRPr="004B49C7">
        <w:rPr>
          <w:rFonts w:ascii="Verdana" w:hAnsi="Verdana"/>
        </w:rPr>
        <w:fldChar w:fldCharType="end"/>
      </w:r>
    </w:p>
    <w:p w14:paraId="285C6210" w14:textId="27803DA2" w:rsidR="001C0C16" w:rsidRPr="00AC079B" w:rsidRDefault="003406F6" w:rsidP="004B49C7">
      <w:pPr>
        <w:pStyle w:val="Sinespaciado"/>
        <w:jc w:val="both"/>
        <w:rPr>
          <w:rFonts w:ascii="Verdana" w:hAnsi="Verdana"/>
          <w:b/>
          <w:bCs/>
        </w:rPr>
      </w:pPr>
      <w:r w:rsidRPr="00AC079B">
        <w:rPr>
          <w:rFonts w:ascii="Verdana" w:hAnsi="Verdana"/>
          <w:b/>
          <w:bCs/>
        </w:rPr>
        <w:t>J</w:t>
      </w:r>
      <w:r w:rsidR="00AC079B" w:rsidRPr="00AC079B">
        <w:rPr>
          <w:rFonts w:ascii="Verdana" w:hAnsi="Verdana"/>
          <w:b/>
          <w:bCs/>
        </w:rPr>
        <w:t>U</w:t>
      </w:r>
      <w:r w:rsidRPr="00AC079B">
        <w:rPr>
          <w:rFonts w:ascii="Verdana" w:hAnsi="Verdana"/>
          <w:b/>
          <w:bCs/>
        </w:rPr>
        <w:t>AN DANIEL OVIEDO A</w:t>
      </w:r>
      <w:r w:rsidR="00AC079B" w:rsidRPr="00AC079B">
        <w:rPr>
          <w:rFonts w:ascii="Verdana" w:hAnsi="Verdana"/>
          <w:b/>
          <w:bCs/>
        </w:rPr>
        <w:t>RANGO</w:t>
      </w:r>
    </w:p>
    <w:p w14:paraId="2D4266CE" w14:textId="77777777" w:rsidR="00AC079B" w:rsidRDefault="00AC079B" w:rsidP="004B49C7">
      <w:pPr>
        <w:pStyle w:val="Sinespaciado"/>
        <w:jc w:val="both"/>
        <w:rPr>
          <w:rFonts w:ascii="Verdana" w:hAnsi="Verdana"/>
        </w:rPr>
      </w:pPr>
    </w:p>
    <w:p w14:paraId="49F701E1" w14:textId="77777777" w:rsidR="00AC079B" w:rsidRDefault="00AC079B" w:rsidP="004B49C7">
      <w:pPr>
        <w:pStyle w:val="Sinespaciado"/>
        <w:jc w:val="both"/>
        <w:rPr>
          <w:rFonts w:ascii="Verdana" w:hAnsi="Verdana"/>
        </w:rPr>
      </w:pPr>
    </w:p>
    <w:p w14:paraId="7B2AC0C6" w14:textId="51ABE181" w:rsidR="001C0C16" w:rsidRPr="004B49C7" w:rsidRDefault="003406F6" w:rsidP="004B49C7">
      <w:pPr>
        <w:pStyle w:val="Sinespaciado"/>
        <w:jc w:val="both"/>
        <w:rPr>
          <w:rFonts w:ascii="Verdana" w:hAnsi="Verdana"/>
        </w:rPr>
      </w:pPr>
      <w:r w:rsidRPr="004B49C7">
        <w:rPr>
          <w:rFonts w:ascii="Verdana" w:hAnsi="Verdana"/>
        </w:rPr>
        <w:lastRenderedPageBreak/>
        <w:t>EL DIRECTOR DEL DEPARTAMENTO ADMINISTRATIVO DE LA FUNCIÓN PÚBLICA,</w:t>
      </w:r>
      <w:r w:rsidRPr="004B49C7">
        <w:rPr>
          <w:rFonts w:ascii="Verdana" w:hAnsi="Verdana"/>
        </w:rPr>
        <w:tab/>
      </w:r>
      <w:r w:rsidRPr="004B49C7">
        <w:rPr>
          <w:rFonts w:ascii="Verdana" w:hAnsi="Verdana"/>
        </w:rPr>
        <w:tab/>
      </w:r>
      <w:r w:rsidRPr="004B49C7">
        <w:rPr>
          <w:rFonts w:ascii="Verdana" w:hAnsi="Verdana"/>
        </w:rPr>
        <w:tab/>
      </w:r>
    </w:p>
    <w:p w14:paraId="32325847" w14:textId="7D13D51E" w:rsidR="001C0C16" w:rsidRDefault="003406F6" w:rsidP="004B49C7">
      <w:pPr>
        <w:pStyle w:val="Sinespaciado"/>
        <w:jc w:val="both"/>
        <w:rPr>
          <w:rFonts w:ascii="Verdana" w:hAnsi="Verdana"/>
          <w:b/>
          <w:bCs/>
        </w:rPr>
      </w:pPr>
      <w:r w:rsidRPr="00AC079B">
        <w:rPr>
          <w:rFonts w:ascii="Verdana" w:hAnsi="Verdana"/>
          <w:b/>
          <w:bCs/>
        </w:rPr>
        <w:t>FERNANDO ANTONIO</w:t>
      </w:r>
      <w:r w:rsidR="00AC079B" w:rsidRPr="00AC079B">
        <w:rPr>
          <w:rFonts w:ascii="Verdana" w:hAnsi="Verdana"/>
          <w:b/>
          <w:bCs/>
        </w:rPr>
        <w:t xml:space="preserve"> GRILLO RUBIANO</w:t>
      </w:r>
    </w:p>
    <w:p w14:paraId="7CE3D010" w14:textId="4AB1F2DE" w:rsidR="00AC079B" w:rsidRDefault="00AC079B" w:rsidP="004B49C7">
      <w:pPr>
        <w:pStyle w:val="Sinespaciado"/>
        <w:jc w:val="both"/>
        <w:rPr>
          <w:rFonts w:ascii="Verdana" w:hAnsi="Verdana"/>
          <w:b/>
          <w:bCs/>
        </w:rPr>
      </w:pPr>
    </w:p>
    <w:p w14:paraId="27BF0EA2" w14:textId="4C3E785F" w:rsidR="00AC079B" w:rsidRDefault="00AC079B" w:rsidP="004B49C7">
      <w:pPr>
        <w:pStyle w:val="Sinespaciado"/>
        <w:jc w:val="both"/>
        <w:rPr>
          <w:rFonts w:ascii="Verdana" w:hAnsi="Verdana"/>
        </w:rPr>
      </w:pPr>
      <w:r w:rsidRPr="00AC079B">
        <w:rPr>
          <w:rFonts w:ascii="Verdana" w:hAnsi="Verdana"/>
        </w:rPr>
        <w:t>LA DIRECTORA DEL DEPARTAMENTO ADMINISTRATIVO PARA LA PROSPERIDAD SOCIAL,</w:t>
      </w:r>
    </w:p>
    <w:p w14:paraId="139CBBFE" w14:textId="6996F506" w:rsidR="00AC079B" w:rsidRDefault="00AC079B" w:rsidP="004B49C7">
      <w:pPr>
        <w:pStyle w:val="Sinespaciado"/>
        <w:jc w:val="both"/>
        <w:rPr>
          <w:rFonts w:ascii="Verdana" w:hAnsi="Verdana"/>
          <w:b/>
          <w:bCs/>
        </w:rPr>
      </w:pPr>
      <w:r w:rsidRPr="00AC079B">
        <w:rPr>
          <w:rFonts w:ascii="Verdana" w:hAnsi="Verdana"/>
          <w:b/>
          <w:bCs/>
        </w:rPr>
        <w:t>SUSANA CORREA BORRERO</w:t>
      </w:r>
    </w:p>
    <w:p w14:paraId="5F42E488" w14:textId="24463131" w:rsidR="00AC079B" w:rsidRDefault="00AC079B" w:rsidP="004B49C7">
      <w:pPr>
        <w:pStyle w:val="Sinespaciado"/>
        <w:jc w:val="both"/>
        <w:rPr>
          <w:rFonts w:ascii="Verdana" w:hAnsi="Verdana"/>
          <w:b/>
          <w:bCs/>
        </w:rPr>
      </w:pPr>
    </w:p>
    <w:p w14:paraId="33D9DAFA" w14:textId="079B8CCD" w:rsidR="00AC079B" w:rsidRDefault="00AC079B" w:rsidP="004B49C7">
      <w:pPr>
        <w:pStyle w:val="Sinespaciado"/>
        <w:jc w:val="both"/>
        <w:rPr>
          <w:rFonts w:ascii="Verdana" w:hAnsi="Verdana"/>
        </w:rPr>
      </w:pPr>
      <w:r w:rsidRPr="00AC079B">
        <w:rPr>
          <w:rFonts w:ascii="Verdana" w:hAnsi="Verdana"/>
        </w:rPr>
        <w:t>EL DIRECTOR DEL DEPARTAMENTO ADMINISTRATIVO – DIRECCIÓN NACIONAL DE INTELIGENCIA,</w:t>
      </w:r>
    </w:p>
    <w:p w14:paraId="757539B6" w14:textId="11F95520" w:rsidR="00AC079B" w:rsidRPr="00AC079B" w:rsidRDefault="00AC079B" w:rsidP="004B49C7">
      <w:pPr>
        <w:pStyle w:val="Sinespaciado"/>
        <w:jc w:val="both"/>
        <w:rPr>
          <w:rFonts w:ascii="Verdana" w:hAnsi="Verdana"/>
          <w:b/>
          <w:bCs/>
        </w:rPr>
      </w:pPr>
      <w:r w:rsidRPr="00AC079B">
        <w:rPr>
          <w:rFonts w:ascii="Verdana" w:hAnsi="Verdana"/>
          <w:b/>
          <w:bCs/>
        </w:rPr>
        <w:t>RODOLFO AMAYA KERQUELEN</w:t>
      </w:r>
    </w:p>
    <w:sectPr w:rsidR="00AC079B" w:rsidRPr="00AC079B" w:rsidSect="004B49C7">
      <w:pgSz w:w="12240" w:h="15840" w:code="1"/>
      <w:pgMar w:top="1701" w:right="1418" w:bottom="1701" w:left="1418" w:header="709" w:footer="12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FB00B" w14:textId="77777777" w:rsidR="00222006" w:rsidRDefault="00222006">
      <w:r>
        <w:separator/>
      </w:r>
    </w:p>
  </w:endnote>
  <w:endnote w:type="continuationSeparator" w:id="0">
    <w:p w14:paraId="1DFE851A" w14:textId="77777777" w:rsidR="00222006" w:rsidRDefault="002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955EF" w14:textId="77777777" w:rsidR="00222006" w:rsidRDefault="00222006"/>
  </w:footnote>
  <w:footnote w:type="continuationSeparator" w:id="0">
    <w:p w14:paraId="6C216E2D" w14:textId="77777777" w:rsidR="00222006" w:rsidRDefault="002220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16"/>
    <w:rsid w:val="001C0C16"/>
    <w:rsid w:val="00222006"/>
    <w:rsid w:val="00282BB0"/>
    <w:rsid w:val="003406F6"/>
    <w:rsid w:val="004B49C7"/>
    <w:rsid w:val="005C1AD1"/>
    <w:rsid w:val="00AC079B"/>
    <w:rsid w:val="00BD03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3FDEC"/>
  <w15:docId w15:val="{ABD46ED4-9018-4E15-B308-057FDB63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link w:val="Cuerpodeltexto3"/>
    <w:rPr>
      <w:rFonts w:ascii="Tahoma" w:eastAsia="Tahoma" w:hAnsi="Tahoma" w:cs="Tahoma"/>
      <w:b/>
      <w:bCs/>
      <w:i w:val="0"/>
      <w:iCs w:val="0"/>
      <w:smallCaps w:val="0"/>
      <w:strike w:val="0"/>
      <w:sz w:val="28"/>
      <w:szCs w:val="28"/>
      <w:u w:val="none"/>
    </w:rPr>
  </w:style>
  <w:style w:type="character" w:customStyle="1" w:styleId="Cuerpodeltexto3Exact0">
    <w:name w:val="Cuerpo del texto (3) Exact"/>
    <w:basedOn w:val="Cuerpodeltexto3Exact"/>
    <w:rPr>
      <w:rFonts w:ascii="Tahoma" w:eastAsia="Tahoma" w:hAnsi="Tahoma" w:cs="Tahoma"/>
      <w:b/>
      <w:bCs/>
      <w:i w:val="0"/>
      <w:iCs w:val="0"/>
      <w:smallCaps w:val="0"/>
      <w:strike w:val="0"/>
      <w:color w:val="000000"/>
      <w:spacing w:val="0"/>
      <w:w w:val="100"/>
      <w:position w:val="0"/>
      <w:sz w:val="28"/>
      <w:szCs w:val="28"/>
      <w:u w:val="none"/>
      <w:lang w:val="es-ES" w:eastAsia="es-ES" w:bidi="es-ES"/>
    </w:rPr>
  </w:style>
  <w:style w:type="character" w:customStyle="1" w:styleId="Cuerpodeltexto3Exact1">
    <w:name w:val="Cuerpo del texto (3) Exact"/>
    <w:basedOn w:val="Cuerpodeltexto3Exact"/>
    <w:rPr>
      <w:rFonts w:ascii="Tahoma" w:eastAsia="Tahoma" w:hAnsi="Tahoma" w:cs="Tahoma"/>
      <w:b/>
      <w:bCs/>
      <w:i w:val="0"/>
      <w:iCs w:val="0"/>
      <w:smallCaps w:val="0"/>
      <w:strike w:val="0"/>
      <w:color w:val="000000"/>
      <w:spacing w:val="0"/>
      <w:w w:val="100"/>
      <w:position w:val="0"/>
      <w:sz w:val="28"/>
      <w:szCs w:val="28"/>
      <w:u w:val="single"/>
      <w:lang w:val="es-ES" w:eastAsia="es-ES" w:bidi="es-ES"/>
    </w:rPr>
  </w:style>
  <w:style w:type="character" w:customStyle="1" w:styleId="Cuerpodeltexto2Exact">
    <w:name w:val="Cuerpo del texto (2) Exact"/>
    <w:basedOn w:val="Fuentedeprrafopredeter"/>
    <w:rPr>
      <w:rFonts w:ascii="Tahoma" w:eastAsia="Tahoma" w:hAnsi="Tahoma" w:cs="Tahoma"/>
      <w:b w:val="0"/>
      <w:bCs w:val="0"/>
      <w:i w:val="0"/>
      <w:iCs w:val="0"/>
      <w:smallCaps w:val="0"/>
      <w:strike w:val="0"/>
      <w:sz w:val="24"/>
      <w:szCs w:val="24"/>
      <w:u w:val="none"/>
    </w:rPr>
  </w:style>
  <w:style w:type="character" w:customStyle="1" w:styleId="Cuerpodeltexto8Exact">
    <w:name w:val="Cuerpo del texto (8) Exact"/>
    <w:basedOn w:val="Fuentedeprrafopredeter"/>
    <w:link w:val="Cuerpodeltexto8"/>
    <w:rPr>
      <w:rFonts w:ascii="Tahoma" w:eastAsia="Tahoma" w:hAnsi="Tahoma" w:cs="Tahoma"/>
      <w:b/>
      <w:bCs/>
      <w:i w:val="0"/>
      <w:iCs w:val="0"/>
      <w:smallCaps w:val="0"/>
      <w:strike w:val="0"/>
      <w:sz w:val="24"/>
      <w:szCs w:val="24"/>
      <w:u w:val="none"/>
    </w:rPr>
  </w:style>
  <w:style w:type="character" w:customStyle="1" w:styleId="Cuerpodeltexto8Exact0">
    <w:name w:val="Cuerpo del texto (8) Exact"/>
    <w:basedOn w:val="Cuerpodeltexto8Exact"/>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810ptoSinnegritaCursivaExact">
    <w:name w:val="Cuerpo del texto (8) + 10 pto;Sin negrita;Cursiva Exact"/>
    <w:basedOn w:val="Cuerpodeltexto8Exact"/>
    <w:rPr>
      <w:rFonts w:ascii="Tahoma" w:eastAsia="Tahoma" w:hAnsi="Tahoma" w:cs="Tahoma"/>
      <w:b/>
      <w:bCs/>
      <w:i/>
      <w:iCs/>
      <w:smallCaps w:val="0"/>
      <w:strike w:val="0"/>
      <w:color w:val="000000"/>
      <w:spacing w:val="0"/>
      <w:w w:val="100"/>
      <w:position w:val="0"/>
      <w:sz w:val="20"/>
      <w:szCs w:val="20"/>
      <w:u w:val="none"/>
      <w:lang w:val="es-ES" w:eastAsia="es-ES" w:bidi="es-ES"/>
    </w:rPr>
  </w:style>
  <w:style w:type="character" w:customStyle="1" w:styleId="Cuerpodeltexto14Exact">
    <w:name w:val="Cuerpo del texto (14) Exact"/>
    <w:basedOn w:val="Fuentedeprrafopredeter"/>
    <w:link w:val="Cuerpodeltexto14"/>
    <w:rPr>
      <w:rFonts w:ascii="Tahoma" w:eastAsia="Tahoma" w:hAnsi="Tahoma" w:cs="Tahoma"/>
      <w:b w:val="0"/>
      <w:bCs w:val="0"/>
      <w:i/>
      <w:iCs/>
      <w:smallCaps w:val="0"/>
      <w:strike w:val="0"/>
      <w:spacing w:val="-10"/>
      <w:sz w:val="20"/>
      <w:szCs w:val="20"/>
      <w:u w:val="none"/>
    </w:rPr>
  </w:style>
  <w:style w:type="character" w:customStyle="1" w:styleId="Cuerpodeltexto14Exact0">
    <w:name w:val="Cuerpo del texto (14) Exact"/>
    <w:basedOn w:val="Cuerpodeltexto14Exact"/>
    <w:rPr>
      <w:rFonts w:ascii="Tahoma" w:eastAsia="Tahoma" w:hAnsi="Tahoma" w:cs="Tahoma"/>
      <w:b w:val="0"/>
      <w:bCs w:val="0"/>
      <w:i/>
      <w:iCs/>
      <w:smallCaps w:val="0"/>
      <w:strike w:val="0"/>
      <w:color w:val="000000"/>
      <w:spacing w:val="-10"/>
      <w:w w:val="100"/>
      <w:position w:val="0"/>
      <w:sz w:val="20"/>
      <w:szCs w:val="20"/>
      <w:u w:val="none"/>
      <w:lang w:val="es-ES" w:eastAsia="es-ES" w:bidi="es-ES"/>
    </w:rPr>
  </w:style>
  <w:style w:type="character" w:customStyle="1" w:styleId="Cuerpodeltexto2NegritaExact">
    <w:name w:val="Cuerpo del texto (2) + Negrita Exact"/>
    <w:basedOn w:val="Cuerpodeltexto2"/>
    <w:rPr>
      <w:rFonts w:ascii="Tahoma" w:eastAsia="Tahoma" w:hAnsi="Tahoma" w:cs="Tahoma"/>
      <w:b/>
      <w:bCs/>
      <w:i w:val="0"/>
      <w:iCs w:val="0"/>
      <w:smallCaps w:val="0"/>
      <w:strike w:val="0"/>
      <w:sz w:val="24"/>
      <w:szCs w:val="24"/>
      <w:u w:val="none"/>
    </w:rPr>
  </w:style>
  <w:style w:type="character" w:customStyle="1" w:styleId="Cuerpodeltexto2Exact0">
    <w:name w:val="Cuerpo del texto (2) Exact"/>
    <w:basedOn w:val="Cuerpodeltexto2"/>
    <w:rPr>
      <w:rFonts w:ascii="Tahoma" w:eastAsia="Tahoma" w:hAnsi="Tahoma" w:cs="Tahoma"/>
      <w:b w:val="0"/>
      <w:bCs w:val="0"/>
      <w:i w:val="0"/>
      <w:iCs w:val="0"/>
      <w:smallCaps w:val="0"/>
      <w:strike w:val="0"/>
      <w:sz w:val="24"/>
      <w:szCs w:val="24"/>
      <w:u w:val="none"/>
    </w:rPr>
  </w:style>
  <w:style w:type="character" w:customStyle="1" w:styleId="Cuerpodeltexto2">
    <w:name w:val="Cuerpo del texto (2)_"/>
    <w:basedOn w:val="Fuentedeprrafopredeter"/>
    <w:link w:val="Cuerpodeltexto20"/>
    <w:rPr>
      <w:rFonts w:ascii="Tahoma" w:eastAsia="Tahoma" w:hAnsi="Tahoma" w:cs="Tahoma"/>
      <w:b w:val="0"/>
      <w:bCs w:val="0"/>
      <w:i w:val="0"/>
      <w:iCs w:val="0"/>
      <w:smallCaps w:val="0"/>
      <w:strike w:val="0"/>
      <w:sz w:val="24"/>
      <w:szCs w:val="24"/>
      <w:u w:val="none"/>
    </w:rPr>
  </w:style>
  <w:style w:type="character" w:customStyle="1" w:styleId="Cuerpodeltexto2Negrita">
    <w:name w:val="Cuerpo del texto (2) + Negrita"/>
    <w:basedOn w:val="Cuerpodeltexto2"/>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2NegritaExact0">
    <w:name w:val="Cuerpo del texto (2) + Negrita Exact"/>
    <w:basedOn w:val="Cuerpodeltexto2"/>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15Exact">
    <w:name w:val="Cuerpo del texto (15) Exact"/>
    <w:basedOn w:val="Fuentedeprrafopredeter"/>
    <w:link w:val="Cuerpodeltexto15"/>
    <w:rPr>
      <w:rFonts w:ascii="Franklin Gothic Book" w:eastAsia="Franklin Gothic Book" w:hAnsi="Franklin Gothic Book" w:cs="Franklin Gothic Book"/>
      <w:b w:val="0"/>
      <w:bCs w:val="0"/>
      <w:i w:val="0"/>
      <w:iCs w:val="0"/>
      <w:smallCaps w:val="0"/>
      <w:strike w:val="0"/>
      <w:sz w:val="26"/>
      <w:szCs w:val="26"/>
      <w:u w:val="none"/>
    </w:rPr>
  </w:style>
  <w:style w:type="character" w:customStyle="1" w:styleId="Cuerpodeltexto15NegritaExact">
    <w:name w:val="Cuerpo del texto (15) + Negrita Exact"/>
    <w:basedOn w:val="Cuerpodeltexto15Exact"/>
    <w:rPr>
      <w:rFonts w:ascii="Franklin Gothic Book" w:eastAsia="Franklin Gothic Book" w:hAnsi="Franklin Gothic Book" w:cs="Franklin Gothic Book"/>
      <w:b/>
      <w:bCs/>
      <w:i w:val="0"/>
      <w:iCs w:val="0"/>
      <w:smallCaps w:val="0"/>
      <w:strike w:val="0"/>
      <w:color w:val="000000"/>
      <w:spacing w:val="0"/>
      <w:w w:val="100"/>
      <w:position w:val="0"/>
      <w:sz w:val="26"/>
      <w:szCs w:val="26"/>
      <w:u w:val="none"/>
      <w:lang w:val="es-ES" w:eastAsia="es-ES" w:bidi="es-ES"/>
    </w:rPr>
  </w:style>
  <w:style w:type="character" w:customStyle="1" w:styleId="Cuerpodeltexto1514ptoNegritaExact">
    <w:name w:val="Cuerpo del texto (15) + 14 pto;Negrita Exact"/>
    <w:basedOn w:val="Cuerpodeltexto15Exact"/>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es-ES" w:eastAsia="es-ES" w:bidi="es-ES"/>
    </w:rPr>
  </w:style>
  <w:style w:type="character" w:customStyle="1" w:styleId="Cuerpodeltexto10Exact">
    <w:name w:val="Cuerpo del texto (10) Exact"/>
    <w:basedOn w:val="Fuentedeprrafopredeter"/>
    <w:link w:val="Cuerpodeltexto10"/>
    <w:rPr>
      <w:rFonts w:ascii="Arial" w:eastAsia="Arial" w:hAnsi="Arial" w:cs="Arial"/>
      <w:b w:val="0"/>
      <w:bCs w:val="0"/>
      <w:i w:val="0"/>
      <w:iCs w:val="0"/>
      <w:smallCaps w:val="0"/>
      <w:strike w:val="0"/>
      <w:sz w:val="22"/>
      <w:szCs w:val="22"/>
      <w:u w:val="none"/>
    </w:rPr>
  </w:style>
  <w:style w:type="character" w:customStyle="1" w:styleId="Cuerpodeltexto10FranklinGothicBook13ptoNegritaExact">
    <w:name w:val="Cuerpo del texto (10) + Franklin Gothic Book;13 pto;Negrita Exact"/>
    <w:basedOn w:val="Cuerpodeltexto10Exact"/>
    <w:rPr>
      <w:rFonts w:ascii="Franklin Gothic Book" w:eastAsia="Franklin Gothic Book" w:hAnsi="Franklin Gothic Book" w:cs="Franklin Gothic Book"/>
      <w:b/>
      <w:bCs/>
      <w:i w:val="0"/>
      <w:iCs w:val="0"/>
      <w:smallCaps w:val="0"/>
      <w:strike w:val="0"/>
      <w:color w:val="000000"/>
      <w:spacing w:val="0"/>
      <w:w w:val="100"/>
      <w:position w:val="0"/>
      <w:sz w:val="26"/>
      <w:szCs w:val="26"/>
      <w:u w:val="none"/>
      <w:lang w:val="es-ES" w:eastAsia="es-ES" w:bidi="es-ES"/>
    </w:rPr>
  </w:style>
  <w:style w:type="character" w:customStyle="1" w:styleId="Cuerpodeltexto16">
    <w:name w:val="Cuerpo del texto (16)_"/>
    <w:basedOn w:val="Fuentedeprrafopredeter"/>
    <w:link w:val="Cuerpodeltexto160"/>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Cuerpodeltexto161">
    <w:name w:val="Cuerpo del texto (16)"/>
    <w:basedOn w:val="Cuerpodeltexto16"/>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es-ES" w:eastAsia="es-ES" w:bidi="es-ES"/>
    </w:rPr>
  </w:style>
  <w:style w:type="character" w:customStyle="1" w:styleId="Cuerpodeltexto16Consolas18ptoCursivaEspaciado-3pto">
    <w:name w:val="Cuerpo del texto (16) + Consolas;18 pto;Cursiva;Espaciado -3 pto"/>
    <w:basedOn w:val="Cuerpodeltexto16"/>
    <w:rPr>
      <w:rFonts w:ascii="Consolas" w:eastAsia="Consolas" w:hAnsi="Consolas" w:cs="Consolas"/>
      <w:b w:val="0"/>
      <w:bCs w:val="0"/>
      <w:i/>
      <w:iCs/>
      <w:smallCaps w:val="0"/>
      <w:strike w:val="0"/>
      <w:color w:val="000000"/>
      <w:spacing w:val="-70"/>
      <w:w w:val="100"/>
      <w:position w:val="0"/>
      <w:sz w:val="36"/>
      <w:szCs w:val="36"/>
      <w:u w:val="none"/>
      <w:lang w:val="es-ES" w:eastAsia="es-ES" w:bidi="es-ES"/>
    </w:rPr>
  </w:style>
  <w:style w:type="character" w:customStyle="1" w:styleId="Cuerpodeltexto16Versales">
    <w:name w:val="Cuerpo del texto (16) + Versales"/>
    <w:basedOn w:val="Cuerpodeltexto16"/>
    <w:rPr>
      <w:rFonts w:ascii="Franklin Gothic Book" w:eastAsia="Franklin Gothic Book" w:hAnsi="Franklin Gothic Book" w:cs="Franklin Gothic Book"/>
      <w:b w:val="0"/>
      <w:bCs w:val="0"/>
      <w:i w:val="0"/>
      <w:iCs w:val="0"/>
      <w:smallCaps/>
      <w:strike w:val="0"/>
      <w:color w:val="000000"/>
      <w:spacing w:val="0"/>
      <w:w w:val="100"/>
      <w:position w:val="0"/>
      <w:sz w:val="24"/>
      <w:szCs w:val="24"/>
      <w:u w:val="none"/>
      <w:lang w:val="es-ES" w:eastAsia="es-ES" w:bidi="es-ES"/>
    </w:rPr>
  </w:style>
  <w:style w:type="character" w:customStyle="1" w:styleId="Ttulo3">
    <w:name w:val="Título #3_"/>
    <w:basedOn w:val="Fuentedeprrafopredeter"/>
    <w:link w:val="Ttulo30"/>
    <w:rPr>
      <w:rFonts w:ascii="Tahoma" w:eastAsia="Tahoma" w:hAnsi="Tahoma" w:cs="Tahoma"/>
      <w:b w:val="0"/>
      <w:bCs w:val="0"/>
      <w:i w:val="0"/>
      <w:iCs w:val="0"/>
      <w:smallCaps w:val="0"/>
      <w:strike w:val="0"/>
      <w:sz w:val="36"/>
      <w:szCs w:val="36"/>
      <w:u w:val="none"/>
    </w:rPr>
  </w:style>
  <w:style w:type="character" w:customStyle="1" w:styleId="Ttulo31">
    <w:name w:val="Título #3"/>
    <w:basedOn w:val="Ttulo3"/>
    <w:rPr>
      <w:rFonts w:ascii="Tahoma" w:eastAsia="Tahoma" w:hAnsi="Tahoma" w:cs="Tahoma"/>
      <w:b w:val="0"/>
      <w:bCs w:val="0"/>
      <w:i w:val="0"/>
      <w:iCs w:val="0"/>
      <w:smallCaps w:val="0"/>
      <w:strike w:val="0"/>
      <w:color w:val="000000"/>
      <w:spacing w:val="0"/>
      <w:w w:val="100"/>
      <w:position w:val="0"/>
      <w:sz w:val="36"/>
      <w:szCs w:val="36"/>
      <w:u w:val="none"/>
      <w:lang w:val="es-ES" w:eastAsia="es-ES" w:bidi="es-ES"/>
    </w:rPr>
  </w:style>
  <w:style w:type="character" w:customStyle="1" w:styleId="Ttulo312ptoNegrita">
    <w:name w:val="Título #3 + 12 pto;Negrita"/>
    <w:basedOn w:val="Ttulo3"/>
    <w:rPr>
      <w:rFonts w:ascii="Tahoma" w:eastAsia="Tahoma" w:hAnsi="Tahoma" w:cs="Tahoma"/>
      <w:b/>
      <w:bCs/>
      <w:i w:val="0"/>
      <w:iCs w:val="0"/>
      <w:smallCaps w:val="0"/>
      <w:strike w:val="0"/>
      <w:color w:val="000000"/>
      <w:spacing w:val="0"/>
      <w:w w:val="100"/>
      <w:position w:val="0"/>
      <w:sz w:val="24"/>
      <w:szCs w:val="24"/>
      <w:u w:val="none"/>
      <w:lang w:val="es-ES" w:eastAsia="es-ES" w:bidi="es-ES"/>
    </w:rPr>
  </w:style>
  <w:style w:type="character" w:customStyle="1" w:styleId="Cuerpodeltexto12">
    <w:name w:val="Cuerpo del texto (12)_"/>
    <w:basedOn w:val="Fuentedeprrafopredeter"/>
    <w:link w:val="Cuerpodeltexto120"/>
    <w:rPr>
      <w:rFonts w:ascii="Arial" w:eastAsia="Arial" w:hAnsi="Arial" w:cs="Arial"/>
      <w:b/>
      <w:bCs/>
      <w:i w:val="0"/>
      <w:iCs w:val="0"/>
      <w:smallCaps w:val="0"/>
      <w:strike w:val="0"/>
      <w:sz w:val="18"/>
      <w:szCs w:val="18"/>
      <w:u w:val="none"/>
    </w:rPr>
  </w:style>
  <w:style w:type="character" w:customStyle="1" w:styleId="Cuerpodeltexto12FranklinGothicBook11pto">
    <w:name w:val="Cuerpo del texto (12) + Franklin Gothic Book;11 pto"/>
    <w:basedOn w:val="Cuerpodeltexto12"/>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es-ES" w:eastAsia="es-ES" w:bidi="es-ES"/>
    </w:rPr>
  </w:style>
  <w:style w:type="character" w:customStyle="1" w:styleId="Encabezamientoopiedepgina">
    <w:name w:val="Encabezamiento o pie de página_"/>
    <w:basedOn w:val="Fuentedeprrafopredeter"/>
    <w:link w:val="Encabezamientoopiedepgina0"/>
    <w:rPr>
      <w:rFonts w:ascii="Arial Narrow" w:eastAsia="Arial Narrow" w:hAnsi="Arial Narrow" w:cs="Arial Narrow"/>
      <w:b w:val="0"/>
      <w:bCs w:val="0"/>
      <w:i w:val="0"/>
      <w:iCs w:val="0"/>
      <w:smallCaps w:val="0"/>
      <w:strike w:val="0"/>
      <w:spacing w:val="30"/>
      <w:sz w:val="36"/>
      <w:szCs w:val="36"/>
      <w:u w:val="none"/>
    </w:rPr>
  </w:style>
  <w:style w:type="character" w:customStyle="1" w:styleId="EncabezamientoopiedepginaFranklinGothicBook11ptoEspaciado0pto">
    <w:name w:val="Encabezamiento o pie de página + Franklin Gothic Book;11 pto;Espaciado 0 pto"/>
    <w:basedOn w:val="Encabezamientoopiedepgina"/>
    <w:rPr>
      <w:rFonts w:ascii="Franklin Gothic Book" w:eastAsia="Franklin Gothic Book" w:hAnsi="Franklin Gothic Book" w:cs="Franklin Gothic Book"/>
      <w:b w:val="0"/>
      <w:bCs w:val="0"/>
      <w:i w:val="0"/>
      <w:iCs w:val="0"/>
      <w:smallCaps w:val="0"/>
      <w:strike w:val="0"/>
      <w:color w:val="000000"/>
      <w:spacing w:val="0"/>
      <w:w w:val="100"/>
      <w:position w:val="0"/>
      <w:sz w:val="22"/>
      <w:szCs w:val="22"/>
      <w:u w:val="none"/>
      <w:lang w:val="es-ES" w:eastAsia="es-ES" w:bidi="es-ES"/>
    </w:rPr>
  </w:style>
  <w:style w:type="character" w:customStyle="1" w:styleId="EncabezamientoopiedepginaFranklinGothicBook11ptoCursivaEspaciado0pto">
    <w:name w:val="Encabezamiento o pie de página + Franklin Gothic Book;11 pto;Cursiva;Espaciado 0 pto"/>
    <w:basedOn w:val="Encabezamientoopiedepgina"/>
    <w:rPr>
      <w:rFonts w:ascii="Franklin Gothic Book" w:eastAsia="Franklin Gothic Book" w:hAnsi="Franklin Gothic Book" w:cs="Franklin Gothic Book"/>
      <w:b w:val="0"/>
      <w:bCs w:val="0"/>
      <w:i/>
      <w:iCs/>
      <w:smallCaps w:val="0"/>
      <w:strike w:val="0"/>
      <w:color w:val="000000"/>
      <w:spacing w:val="0"/>
      <w:w w:val="100"/>
      <w:position w:val="0"/>
      <w:sz w:val="22"/>
      <w:szCs w:val="22"/>
      <w:u w:val="none"/>
      <w:lang w:val="es-ES" w:eastAsia="es-ES" w:bidi="es-ES"/>
    </w:rPr>
  </w:style>
  <w:style w:type="character" w:customStyle="1" w:styleId="Cuerpodeltexto16Versales0">
    <w:name w:val="Cuerpo del texto (16) + Versales"/>
    <w:basedOn w:val="Cuerpodeltexto16"/>
    <w:rPr>
      <w:rFonts w:ascii="Franklin Gothic Book" w:eastAsia="Franklin Gothic Book" w:hAnsi="Franklin Gothic Book" w:cs="Franklin Gothic Book"/>
      <w:b w:val="0"/>
      <w:bCs w:val="0"/>
      <w:i w:val="0"/>
      <w:iCs w:val="0"/>
      <w:smallCaps/>
      <w:strike w:val="0"/>
      <w:color w:val="000000"/>
      <w:spacing w:val="0"/>
      <w:w w:val="100"/>
      <w:position w:val="0"/>
      <w:sz w:val="24"/>
      <w:szCs w:val="24"/>
      <w:u w:val="none"/>
      <w:lang w:val="es-ES" w:eastAsia="es-ES" w:bidi="es-ES"/>
    </w:rPr>
  </w:style>
  <w:style w:type="character" w:customStyle="1" w:styleId="Cuerpodeltexto12FranklinGothicBook11ptoVersales">
    <w:name w:val="Cuerpo del texto (12) + Franklin Gothic Book;11 pto;Versales"/>
    <w:basedOn w:val="Cuerpodeltexto12"/>
    <w:rPr>
      <w:rFonts w:ascii="Franklin Gothic Book" w:eastAsia="Franklin Gothic Book" w:hAnsi="Franklin Gothic Book" w:cs="Franklin Gothic Book"/>
      <w:b/>
      <w:bCs/>
      <w:i w:val="0"/>
      <w:iCs w:val="0"/>
      <w:smallCaps/>
      <w:strike w:val="0"/>
      <w:color w:val="000000"/>
      <w:spacing w:val="0"/>
      <w:w w:val="100"/>
      <w:position w:val="0"/>
      <w:sz w:val="22"/>
      <w:szCs w:val="22"/>
      <w:u w:val="none"/>
      <w:lang w:val="es-ES" w:eastAsia="es-ES" w:bidi="es-ES"/>
    </w:rPr>
  </w:style>
  <w:style w:type="character" w:customStyle="1" w:styleId="Ttulo12">
    <w:name w:val="Título #1 (2)_"/>
    <w:basedOn w:val="Fuentedeprrafopredeter"/>
    <w:link w:val="Ttulo120"/>
    <w:rPr>
      <w:rFonts w:ascii="Franklin Gothic Book" w:eastAsia="Franklin Gothic Book" w:hAnsi="Franklin Gothic Book" w:cs="Franklin Gothic Book"/>
      <w:b/>
      <w:bCs/>
      <w:i w:val="0"/>
      <w:iCs w:val="0"/>
      <w:smallCaps w:val="0"/>
      <w:strike w:val="0"/>
      <w:sz w:val="28"/>
      <w:szCs w:val="28"/>
      <w:u w:val="none"/>
    </w:rPr>
  </w:style>
  <w:style w:type="character" w:customStyle="1" w:styleId="Ttulo12Sinnegrita">
    <w:name w:val="Título #1 (2) + Sin negrita"/>
    <w:basedOn w:val="Ttulo12"/>
    <w:rPr>
      <w:rFonts w:ascii="Franklin Gothic Book" w:eastAsia="Franklin Gothic Book" w:hAnsi="Franklin Gothic Book" w:cs="Franklin Gothic Book"/>
      <w:b/>
      <w:bCs/>
      <w:i w:val="0"/>
      <w:iCs w:val="0"/>
      <w:smallCaps w:val="0"/>
      <w:strike w:val="0"/>
      <w:color w:val="000000"/>
      <w:spacing w:val="0"/>
      <w:w w:val="100"/>
      <w:position w:val="0"/>
      <w:sz w:val="28"/>
      <w:szCs w:val="28"/>
      <w:u w:val="none"/>
      <w:lang w:val="es-ES" w:eastAsia="es-ES" w:bidi="es-ES"/>
    </w:rPr>
  </w:style>
  <w:style w:type="character" w:customStyle="1" w:styleId="Ttulo12SinnegritaCursiva">
    <w:name w:val="Título #1 (2) + Sin negrita;Cursiva"/>
    <w:basedOn w:val="Ttulo12"/>
    <w:rPr>
      <w:rFonts w:ascii="Franklin Gothic Book" w:eastAsia="Franklin Gothic Book" w:hAnsi="Franklin Gothic Book" w:cs="Franklin Gothic Book"/>
      <w:b/>
      <w:bCs/>
      <w:i/>
      <w:iCs/>
      <w:smallCaps w:val="0"/>
      <w:strike w:val="0"/>
      <w:color w:val="000000"/>
      <w:spacing w:val="0"/>
      <w:w w:val="100"/>
      <w:position w:val="0"/>
      <w:sz w:val="28"/>
      <w:szCs w:val="28"/>
      <w:u w:val="none"/>
      <w:lang w:val="es-ES" w:eastAsia="es-ES" w:bidi="es-ES"/>
    </w:rPr>
  </w:style>
  <w:style w:type="character" w:customStyle="1" w:styleId="Cuerpodeltexto17">
    <w:name w:val="Cuerpo del texto (17)_"/>
    <w:basedOn w:val="Fuentedeprrafopredeter"/>
    <w:link w:val="Cuerpodeltexto170"/>
    <w:rPr>
      <w:rFonts w:ascii="Franklin Gothic Book" w:eastAsia="Franklin Gothic Book" w:hAnsi="Franklin Gothic Book" w:cs="Franklin Gothic Book"/>
      <w:b/>
      <w:bCs/>
      <w:i w:val="0"/>
      <w:iCs w:val="0"/>
      <w:smallCaps w:val="0"/>
      <w:strike w:val="0"/>
      <w:sz w:val="22"/>
      <w:szCs w:val="22"/>
      <w:u w:val="none"/>
    </w:rPr>
  </w:style>
  <w:style w:type="character" w:customStyle="1" w:styleId="Cuerpodeltexto17Versales">
    <w:name w:val="Cuerpo del texto (17) + Versales"/>
    <w:basedOn w:val="Cuerpodeltexto17"/>
    <w:rPr>
      <w:rFonts w:ascii="Franklin Gothic Book" w:eastAsia="Franklin Gothic Book" w:hAnsi="Franklin Gothic Book" w:cs="Franklin Gothic Book"/>
      <w:b/>
      <w:bCs/>
      <w:i w:val="0"/>
      <w:iCs w:val="0"/>
      <w:smallCaps/>
      <w:strike w:val="0"/>
      <w:color w:val="000000"/>
      <w:spacing w:val="0"/>
      <w:w w:val="100"/>
      <w:position w:val="0"/>
      <w:sz w:val="22"/>
      <w:szCs w:val="22"/>
      <w:u w:val="none"/>
      <w:lang w:val="es-ES" w:eastAsia="es-ES" w:bidi="es-ES"/>
    </w:rPr>
  </w:style>
  <w:style w:type="character" w:customStyle="1" w:styleId="Ttulo2">
    <w:name w:val="Título #2_"/>
    <w:basedOn w:val="Fuentedeprrafopredeter"/>
    <w:link w:val="Ttulo20"/>
    <w:rPr>
      <w:rFonts w:ascii="Tahoma" w:eastAsia="Tahoma" w:hAnsi="Tahoma" w:cs="Tahoma"/>
      <w:b/>
      <w:bCs/>
      <w:i w:val="0"/>
      <w:iCs w:val="0"/>
      <w:smallCaps w:val="0"/>
      <w:strike w:val="0"/>
      <w:spacing w:val="0"/>
      <w:sz w:val="52"/>
      <w:szCs w:val="52"/>
      <w:u w:val="none"/>
    </w:rPr>
  </w:style>
  <w:style w:type="character" w:customStyle="1" w:styleId="Cuerpodeltexto18">
    <w:name w:val="Cuerpo del texto (18)_"/>
    <w:basedOn w:val="Fuentedeprrafopredeter"/>
    <w:link w:val="Cuerpodeltexto180"/>
    <w:rPr>
      <w:rFonts w:ascii="Bookman Old Style" w:eastAsia="Bookman Old Style" w:hAnsi="Bookman Old Style" w:cs="Bookman Old Style"/>
      <w:b/>
      <w:bCs/>
      <w:i w:val="0"/>
      <w:iCs w:val="0"/>
      <w:smallCaps w:val="0"/>
      <w:strike w:val="0"/>
      <w:sz w:val="28"/>
      <w:szCs w:val="28"/>
      <w:u w:val="none"/>
    </w:rPr>
  </w:style>
  <w:style w:type="character" w:customStyle="1" w:styleId="Cuerpodeltexto18Versales">
    <w:name w:val="Cuerpo del texto (18) + Versales"/>
    <w:basedOn w:val="Cuerpodeltexto18"/>
    <w:rPr>
      <w:rFonts w:ascii="Bookman Old Style" w:eastAsia="Bookman Old Style" w:hAnsi="Bookman Old Style" w:cs="Bookman Old Style"/>
      <w:b/>
      <w:bCs/>
      <w:i w:val="0"/>
      <w:iCs w:val="0"/>
      <w:smallCaps/>
      <w:strike w:val="0"/>
      <w:color w:val="000000"/>
      <w:spacing w:val="0"/>
      <w:w w:val="100"/>
      <w:position w:val="0"/>
      <w:sz w:val="28"/>
      <w:szCs w:val="28"/>
      <w:u w:val="none"/>
      <w:lang w:val="es-ES" w:eastAsia="es-ES" w:bidi="es-ES"/>
    </w:rPr>
  </w:style>
  <w:style w:type="character" w:customStyle="1" w:styleId="Tabladecontenidos">
    <w:name w:val="Tabla de contenidos_"/>
    <w:basedOn w:val="Fuentedeprrafopredeter"/>
    <w:link w:val="Tabladecontenidos0"/>
    <w:rPr>
      <w:rFonts w:ascii="Franklin Gothic Book" w:eastAsia="Franklin Gothic Book" w:hAnsi="Franklin Gothic Book" w:cs="Franklin Gothic Book"/>
      <w:b w:val="0"/>
      <w:bCs w:val="0"/>
      <w:i w:val="0"/>
      <w:iCs w:val="0"/>
      <w:smallCaps w:val="0"/>
      <w:strike w:val="0"/>
      <w:sz w:val="24"/>
      <w:szCs w:val="24"/>
      <w:u w:val="none"/>
    </w:rPr>
  </w:style>
  <w:style w:type="character" w:customStyle="1" w:styleId="TabladecontenidosConsolas18ptoCursivaEspaciado-3pto">
    <w:name w:val="Tabla de contenidos + Consolas;18 pto;Cursiva;Espaciado -3 pto"/>
    <w:basedOn w:val="Tabladecontenidos"/>
    <w:rPr>
      <w:rFonts w:ascii="Consolas" w:eastAsia="Consolas" w:hAnsi="Consolas" w:cs="Consolas"/>
      <w:b w:val="0"/>
      <w:bCs w:val="0"/>
      <w:i/>
      <w:iCs/>
      <w:smallCaps w:val="0"/>
      <w:strike w:val="0"/>
      <w:color w:val="000000"/>
      <w:spacing w:val="-70"/>
      <w:w w:val="100"/>
      <w:position w:val="0"/>
      <w:sz w:val="36"/>
      <w:szCs w:val="36"/>
      <w:u w:val="none"/>
      <w:lang w:val="es-ES" w:eastAsia="es-ES" w:bidi="es-ES"/>
    </w:rPr>
  </w:style>
  <w:style w:type="character" w:customStyle="1" w:styleId="Tabladecontenidos2">
    <w:name w:val="Tabla de contenidos (2)_"/>
    <w:basedOn w:val="Fuentedeprrafopredeter"/>
    <w:link w:val="Tabladecontenidos20"/>
    <w:rPr>
      <w:rFonts w:ascii="Franklin Gothic Book" w:eastAsia="Franklin Gothic Book" w:hAnsi="Franklin Gothic Book" w:cs="Franklin Gothic Book"/>
      <w:b/>
      <w:bCs/>
      <w:i w:val="0"/>
      <w:iCs w:val="0"/>
      <w:smallCaps w:val="0"/>
      <w:strike w:val="0"/>
      <w:sz w:val="22"/>
      <w:szCs w:val="22"/>
      <w:u w:val="none"/>
    </w:rPr>
  </w:style>
  <w:style w:type="character" w:customStyle="1" w:styleId="Tabladecontenidos1">
    <w:name w:val="Tabla de contenidos"/>
    <w:basedOn w:val="Tabladecontenidos"/>
    <w:rPr>
      <w:rFonts w:ascii="Franklin Gothic Book" w:eastAsia="Franklin Gothic Book" w:hAnsi="Franklin Gothic Book" w:cs="Franklin Gothic Book"/>
      <w:b w:val="0"/>
      <w:bCs w:val="0"/>
      <w:i w:val="0"/>
      <w:iCs w:val="0"/>
      <w:smallCaps w:val="0"/>
      <w:strike w:val="0"/>
      <w:color w:val="000000"/>
      <w:spacing w:val="0"/>
      <w:w w:val="100"/>
      <w:position w:val="0"/>
      <w:sz w:val="24"/>
      <w:szCs w:val="24"/>
      <w:u w:val="none"/>
      <w:lang w:val="es-ES" w:eastAsia="es-ES" w:bidi="es-ES"/>
    </w:rPr>
  </w:style>
  <w:style w:type="character" w:customStyle="1" w:styleId="Cuerpodeltexto171">
    <w:name w:val="Cuerpo del texto (17)"/>
    <w:basedOn w:val="Cuerpodeltexto17"/>
    <w:rPr>
      <w:rFonts w:ascii="Franklin Gothic Book" w:eastAsia="Franklin Gothic Book" w:hAnsi="Franklin Gothic Book" w:cs="Franklin Gothic Book"/>
      <w:b/>
      <w:bCs/>
      <w:i w:val="0"/>
      <w:iCs w:val="0"/>
      <w:smallCaps w:val="0"/>
      <w:strike w:val="0"/>
      <w:color w:val="000000"/>
      <w:spacing w:val="0"/>
      <w:w w:val="100"/>
      <w:position w:val="0"/>
      <w:sz w:val="22"/>
      <w:szCs w:val="22"/>
      <w:u w:val="single"/>
      <w:lang w:val="es-ES" w:eastAsia="es-ES" w:bidi="es-ES"/>
    </w:rPr>
  </w:style>
  <w:style w:type="paragraph" w:customStyle="1" w:styleId="Cuerpodeltexto3">
    <w:name w:val="Cuerpo del texto (3)"/>
    <w:basedOn w:val="Normal"/>
    <w:link w:val="Cuerpodeltexto3Exact"/>
    <w:pPr>
      <w:shd w:val="clear" w:color="auto" w:fill="FFFFFF"/>
      <w:spacing w:line="336" w:lineRule="exact"/>
      <w:jc w:val="center"/>
    </w:pPr>
    <w:rPr>
      <w:rFonts w:ascii="Tahoma" w:eastAsia="Tahoma" w:hAnsi="Tahoma" w:cs="Tahoma"/>
      <w:b/>
      <w:bCs/>
      <w:sz w:val="28"/>
      <w:szCs w:val="28"/>
    </w:rPr>
  </w:style>
  <w:style w:type="paragraph" w:customStyle="1" w:styleId="Cuerpodeltexto20">
    <w:name w:val="Cuerpo del texto (2)"/>
    <w:basedOn w:val="Normal"/>
    <w:link w:val="Cuerpodeltexto2"/>
    <w:pPr>
      <w:shd w:val="clear" w:color="auto" w:fill="FFFFFF"/>
      <w:spacing w:after="240" w:line="288" w:lineRule="exact"/>
      <w:jc w:val="both"/>
    </w:pPr>
    <w:rPr>
      <w:rFonts w:ascii="Tahoma" w:eastAsia="Tahoma" w:hAnsi="Tahoma" w:cs="Tahoma"/>
    </w:rPr>
  </w:style>
  <w:style w:type="paragraph" w:customStyle="1" w:styleId="Cuerpodeltexto8">
    <w:name w:val="Cuerpo del texto (8)"/>
    <w:basedOn w:val="Normal"/>
    <w:link w:val="Cuerpodeltexto8Exact"/>
    <w:pPr>
      <w:shd w:val="clear" w:color="auto" w:fill="FFFFFF"/>
      <w:spacing w:after="540" w:line="0" w:lineRule="atLeast"/>
    </w:pPr>
    <w:rPr>
      <w:rFonts w:ascii="Tahoma" w:eastAsia="Tahoma" w:hAnsi="Tahoma" w:cs="Tahoma"/>
      <w:b/>
      <w:bCs/>
    </w:rPr>
  </w:style>
  <w:style w:type="paragraph" w:customStyle="1" w:styleId="Cuerpodeltexto14">
    <w:name w:val="Cuerpo del texto (14)"/>
    <w:basedOn w:val="Normal"/>
    <w:link w:val="Cuerpodeltexto14Exact"/>
    <w:pPr>
      <w:shd w:val="clear" w:color="auto" w:fill="FFFFFF"/>
      <w:spacing w:before="300" w:after="240" w:line="0" w:lineRule="atLeast"/>
    </w:pPr>
    <w:rPr>
      <w:rFonts w:ascii="Tahoma" w:eastAsia="Tahoma" w:hAnsi="Tahoma" w:cs="Tahoma"/>
      <w:i/>
      <w:iCs/>
      <w:spacing w:val="-10"/>
      <w:sz w:val="20"/>
      <w:szCs w:val="20"/>
    </w:rPr>
  </w:style>
  <w:style w:type="paragraph" w:customStyle="1" w:styleId="Cuerpodeltexto15">
    <w:name w:val="Cuerpo del texto (15)"/>
    <w:basedOn w:val="Normal"/>
    <w:link w:val="Cuerpodeltexto15Exact"/>
    <w:pPr>
      <w:shd w:val="clear" w:color="auto" w:fill="FFFFFF"/>
      <w:spacing w:line="1930" w:lineRule="exact"/>
    </w:pPr>
    <w:rPr>
      <w:rFonts w:ascii="Franklin Gothic Book" w:eastAsia="Franklin Gothic Book" w:hAnsi="Franklin Gothic Book" w:cs="Franklin Gothic Book"/>
      <w:sz w:val="26"/>
      <w:szCs w:val="26"/>
    </w:rPr>
  </w:style>
  <w:style w:type="paragraph" w:customStyle="1" w:styleId="Cuerpodeltexto10">
    <w:name w:val="Cuerpo del texto (10)"/>
    <w:basedOn w:val="Normal"/>
    <w:link w:val="Cuerpodeltexto10Exact"/>
    <w:pPr>
      <w:shd w:val="clear" w:color="auto" w:fill="FFFFFF"/>
      <w:spacing w:line="0" w:lineRule="atLeast"/>
    </w:pPr>
    <w:rPr>
      <w:rFonts w:ascii="Arial" w:eastAsia="Arial" w:hAnsi="Arial" w:cs="Arial"/>
      <w:sz w:val="22"/>
      <w:szCs w:val="22"/>
    </w:rPr>
  </w:style>
  <w:style w:type="paragraph" w:customStyle="1" w:styleId="Cuerpodeltexto160">
    <w:name w:val="Cuerpo del texto (16)"/>
    <w:basedOn w:val="Normal"/>
    <w:link w:val="Cuerpodeltexto16"/>
    <w:pPr>
      <w:shd w:val="clear" w:color="auto" w:fill="FFFFFF"/>
      <w:spacing w:after="180" w:line="0" w:lineRule="atLeast"/>
    </w:pPr>
    <w:rPr>
      <w:rFonts w:ascii="Franklin Gothic Book" w:eastAsia="Franklin Gothic Book" w:hAnsi="Franklin Gothic Book" w:cs="Franklin Gothic Book"/>
    </w:rPr>
  </w:style>
  <w:style w:type="paragraph" w:customStyle="1" w:styleId="Ttulo30">
    <w:name w:val="Título #3"/>
    <w:basedOn w:val="Normal"/>
    <w:link w:val="Ttulo3"/>
    <w:pPr>
      <w:shd w:val="clear" w:color="auto" w:fill="FFFFFF"/>
      <w:spacing w:before="240" w:after="360" w:line="0" w:lineRule="atLeast"/>
      <w:jc w:val="right"/>
      <w:outlineLvl w:val="2"/>
    </w:pPr>
    <w:rPr>
      <w:rFonts w:ascii="Tahoma" w:eastAsia="Tahoma" w:hAnsi="Tahoma" w:cs="Tahoma"/>
      <w:sz w:val="36"/>
      <w:szCs w:val="36"/>
    </w:rPr>
  </w:style>
  <w:style w:type="paragraph" w:customStyle="1" w:styleId="Cuerpodeltexto120">
    <w:name w:val="Cuerpo del texto (12)"/>
    <w:basedOn w:val="Normal"/>
    <w:link w:val="Cuerpodeltexto12"/>
    <w:pPr>
      <w:shd w:val="clear" w:color="auto" w:fill="FFFFFF"/>
      <w:spacing w:line="0" w:lineRule="atLeast"/>
      <w:jc w:val="both"/>
    </w:pPr>
    <w:rPr>
      <w:rFonts w:ascii="Arial" w:eastAsia="Arial" w:hAnsi="Arial" w:cs="Arial"/>
      <w:b/>
      <w:bCs/>
      <w:sz w:val="18"/>
      <w:szCs w:val="18"/>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Narrow" w:eastAsia="Arial Narrow" w:hAnsi="Arial Narrow" w:cs="Arial Narrow"/>
      <w:spacing w:val="30"/>
      <w:sz w:val="36"/>
      <w:szCs w:val="36"/>
    </w:rPr>
  </w:style>
  <w:style w:type="paragraph" w:customStyle="1" w:styleId="Ttulo120">
    <w:name w:val="Título #1 (2)"/>
    <w:basedOn w:val="Normal"/>
    <w:link w:val="Ttulo12"/>
    <w:pPr>
      <w:shd w:val="clear" w:color="auto" w:fill="FFFFFF"/>
      <w:spacing w:line="0" w:lineRule="atLeast"/>
      <w:jc w:val="right"/>
      <w:outlineLvl w:val="0"/>
    </w:pPr>
    <w:rPr>
      <w:rFonts w:ascii="Franklin Gothic Book" w:eastAsia="Franklin Gothic Book" w:hAnsi="Franklin Gothic Book" w:cs="Franklin Gothic Book"/>
      <w:b/>
      <w:bCs/>
      <w:sz w:val="28"/>
      <w:szCs w:val="28"/>
    </w:rPr>
  </w:style>
  <w:style w:type="paragraph" w:customStyle="1" w:styleId="Cuerpodeltexto170">
    <w:name w:val="Cuerpo del texto (17)"/>
    <w:basedOn w:val="Normal"/>
    <w:link w:val="Cuerpodeltexto17"/>
    <w:pPr>
      <w:shd w:val="clear" w:color="auto" w:fill="FFFFFF"/>
      <w:spacing w:after="1020" w:line="0" w:lineRule="atLeast"/>
      <w:jc w:val="both"/>
    </w:pPr>
    <w:rPr>
      <w:rFonts w:ascii="Franklin Gothic Book" w:eastAsia="Franklin Gothic Book" w:hAnsi="Franklin Gothic Book" w:cs="Franklin Gothic Book"/>
      <w:b/>
      <w:bCs/>
      <w:sz w:val="22"/>
      <w:szCs w:val="22"/>
    </w:rPr>
  </w:style>
  <w:style w:type="paragraph" w:customStyle="1" w:styleId="Ttulo20">
    <w:name w:val="Título #2"/>
    <w:basedOn w:val="Normal"/>
    <w:link w:val="Ttulo2"/>
    <w:pPr>
      <w:shd w:val="clear" w:color="auto" w:fill="FFFFFF"/>
      <w:spacing w:before="420" w:after="60" w:line="0" w:lineRule="atLeast"/>
      <w:outlineLvl w:val="1"/>
    </w:pPr>
    <w:rPr>
      <w:rFonts w:ascii="Tahoma" w:eastAsia="Tahoma" w:hAnsi="Tahoma" w:cs="Tahoma"/>
      <w:b/>
      <w:bCs/>
      <w:sz w:val="52"/>
      <w:szCs w:val="52"/>
    </w:rPr>
  </w:style>
  <w:style w:type="paragraph" w:customStyle="1" w:styleId="Cuerpodeltexto180">
    <w:name w:val="Cuerpo del texto (18)"/>
    <w:basedOn w:val="Normal"/>
    <w:link w:val="Cuerpodeltexto18"/>
    <w:pPr>
      <w:shd w:val="clear" w:color="auto" w:fill="FFFFFF"/>
      <w:spacing w:after="60" w:line="0" w:lineRule="atLeast"/>
    </w:pPr>
    <w:rPr>
      <w:rFonts w:ascii="Bookman Old Style" w:eastAsia="Bookman Old Style" w:hAnsi="Bookman Old Style" w:cs="Bookman Old Style"/>
      <w:b/>
      <w:bCs/>
      <w:sz w:val="28"/>
      <w:szCs w:val="28"/>
    </w:rPr>
  </w:style>
  <w:style w:type="paragraph" w:customStyle="1" w:styleId="Tabladecontenidos0">
    <w:name w:val="Tabla de contenidos"/>
    <w:basedOn w:val="Normal"/>
    <w:link w:val="Tabladecontenidos"/>
    <w:pPr>
      <w:shd w:val="clear" w:color="auto" w:fill="FFFFFF"/>
      <w:spacing w:before="840" w:after="1020" w:line="0" w:lineRule="atLeast"/>
      <w:jc w:val="both"/>
    </w:pPr>
    <w:rPr>
      <w:rFonts w:ascii="Franklin Gothic Book" w:eastAsia="Franklin Gothic Book" w:hAnsi="Franklin Gothic Book" w:cs="Franklin Gothic Book"/>
    </w:rPr>
  </w:style>
  <w:style w:type="paragraph" w:customStyle="1" w:styleId="Tabladecontenidos20">
    <w:name w:val="Tabla de contenidos (2)"/>
    <w:basedOn w:val="Normal"/>
    <w:link w:val="Tabladecontenidos2"/>
    <w:pPr>
      <w:shd w:val="clear" w:color="auto" w:fill="FFFFFF"/>
      <w:spacing w:before="1020" w:after="720" w:line="0" w:lineRule="atLeast"/>
    </w:pPr>
    <w:rPr>
      <w:rFonts w:ascii="Franklin Gothic Book" w:eastAsia="Franklin Gothic Book" w:hAnsi="Franklin Gothic Book" w:cs="Franklin Gothic Book"/>
      <w:b/>
      <w:bCs/>
      <w:sz w:val="22"/>
      <w:szCs w:val="22"/>
    </w:rPr>
  </w:style>
  <w:style w:type="paragraph" w:styleId="Sinespaciado">
    <w:name w:val="No Spacing"/>
    <w:uiPriority w:val="1"/>
    <w:qFormat/>
    <w:rsid w:val="004B49C7"/>
    <w:rPr>
      <w:color w:val="000000"/>
    </w:rPr>
  </w:style>
  <w:style w:type="paragraph" w:styleId="Piedepgina">
    <w:name w:val="footer"/>
    <w:basedOn w:val="Normal"/>
    <w:link w:val="PiedepginaCar"/>
    <w:uiPriority w:val="99"/>
    <w:unhideWhenUsed/>
    <w:rsid w:val="00AC079B"/>
    <w:pPr>
      <w:tabs>
        <w:tab w:val="center" w:pos="4419"/>
        <w:tab w:val="right" w:pos="8838"/>
      </w:tabs>
    </w:pPr>
  </w:style>
  <w:style w:type="character" w:customStyle="1" w:styleId="PiedepginaCar">
    <w:name w:val="Pie de página Car"/>
    <w:basedOn w:val="Fuentedeprrafopredeter"/>
    <w:link w:val="Piedepgina"/>
    <w:uiPriority w:val="99"/>
    <w:rsid w:val="00AC079B"/>
    <w:rPr>
      <w:color w:val="000000"/>
    </w:rPr>
  </w:style>
  <w:style w:type="paragraph" w:styleId="Encabezado">
    <w:name w:val="header"/>
    <w:basedOn w:val="Normal"/>
    <w:link w:val="EncabezadoCar"/>
    <w:uiPriority w:val="99"/>
    <w:unhideWhenUsed/>
    <w:rsid w:val="00AC079B"/>
    <w:pPr>
      <w:tabs>
        <w:tab w:val="center" w:pos="4419"/>
        <w:tab w:val="right" w:pos="8838"/>
      </w:tabs>
    </w:pPr>
  </w:style>
  <w:style w:type="character" w:customStyle="1" w:styleId="EncabezadoCar">
    <w:name w:val="Encabezado Car"/>
    <w:basedOn w:val="Fuentedeprrafopredeter"/>
    <w:link w:val="Encabezado"/>
    <w:uiPriority w:val="99"/>
    <w:rsid w:val="00AC07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2052</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CNETCO</dc:creator>
  <cp:lastModifiedBy>Guillermo Alzate Duque</cp:lastModifiedBy>
  <cp:revision>2</cp:revision>
  <dcterms:created xsi:type="dcterms:W3CDTF">2020-12-11T23:58:00Z</dcterms:created>
  <dcterms:modified xsi:type="dcterms:W3CDTF">2020-12-11T23:58:00Z</dcterms:modified>
</cp:coreProperties>
</file>